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38" w:type="dxa"/>
        <w:tblInd w:w="0" w:type="dxa"/>
        <w:tblLayout w:type="fixed"/>
        <w:tblCellMar>
          <w:top w:w="0" w:type="dxa"/>
          <w:left w:w="0" w:type="dxa"/>
          <w:bottom w:w="0" w:type="dxa"/>
          <w:right w:w="0" w:type="dxa"/>
        </w:tblCellMar>
        <w:tblLook w:val="0000"/>
      </w:tblPr>
      <w:tblGrid>
        <w:gridCol w:w="4759"/>
        <w:gridCol w:w="120"/>
        <w:gridCol w:w="4759"/>
      </w:tblGrid>
      <w:tr>
        <w:trPr>
          <w:cantSplit/>
        </w:trPr>
        <w:tc>
          <w:tcPr>
            <w:tcW w:w="4759" w:type="dxa"/>
            <w:tcBorders>
              <w:top w:val="single" w:sz="12" w:space="0" w:color="335CB5"/>
              <w:left w:val="nil"/>
              <w:bottom w:val="nil"/>
              <w:right w:val="nil"/>
            </w:tcBorders>
            <w:shd w:val="clear" w:color="auto" w:fill="EDF3FB"/>
            <w:tcMar>
              <w:top w:w="90" w:type="dxa"/>
              <w:left w:w="170" w:type="dxa"/>
              <w:bottom w:w="110" w:type="dxa"/>
              <w:right w:w="120" w:type="dxa"/>
            </w:tcMar>
            <w:vAlign w:val="top"/>
          </w:tcPr>
          <w:p>
            <w:pPr>
              <w:keepNext/>
              <w:spacing w:before="0" w:after="30" w:line="248" w:lineRule="auto"/>
            </w:pPr>
            <w:r>
              <w:rPr>
                <w:rFonts w:ascii="Arial" w:hAnsi="Arial" w:cs="Arial"/>
                <w:b/>
                <w:bCs/>
                <w:caps/>
                <w:color w:val="5B6675"/>
                <w:spacing w:val="12"/>
                <w:sz w:val="14"/>
                <w:szCs w:val="14"/>
              </w:rPr>
              <w:t xml:space="preserve">Kontrolovaná osoba</w:t>
            </w:r>
          </w:p>
          <w:p>
            <w:pPr>
              <w:spacing w:before="0" w:after="10" w:line="248" w:lineRule="auto"/>
            </w:pPr>
            <w:r>
              <w:rPr>
                <w:rFonts w:ascii="Arial" w:hAnsi="Arial" w:cs="Arial"/>
                <w:b/>
                <w:bCs/>
                <w:color w:val="1F3A75"/>
                <w:sz w:val="18"/>
                <w:szCs w:val="18"/>
                <w:shd w:val="clear" w:color="auto" w:fill="E4F3CF"/>
              </w:rPr>
              <w:t xml:space="preserve">[název poskytovatele zdravotních služeb]</w:t>
            </w:r>
          </w:p>
          <w:p>
            <w:pPr>
              <w:spacing w:before="0" w:after="10" w:line="248" w:lineRule="auto"/>
            </w:pPr>
            <w:r>
              <w:rPr>
                <w:rFonts w:ascii="Arial" w:hAnsi="Arial" w:cs="Arial"/>
                <w:color w:val="1F3A75"/>
                <w:sz w:val="18"/>
                <w:szCs w:val="18"/>
                <w:shd w:val="clear" w:color="auto" w:fill="E4F3CF"/>
              </w:rPr>
              <w:t xml:space="preserve">[sídlo]</w:t>
            </w:r>
          </w:p>
          <w:p>
            <w:pPr>
              <w:spacing w:before="0" w:after="10" w:line="248" w:lineRule="auto"/>
            </w:pPr>
            <w:r>
              <w:rPr>
                <w:rFonts w:ascii="Arial" w:hAnsi="Arial" w:cs="Arial"/>
                <w:color w:val="1B2430"/>
                <w:sz w:val="18"/>
                <w:szCs w:val="18"/>
              </w:rPr>
              <w:t xml:space="preserve">IČO </w:t>
            </w:r>
            <w:r>
              <w:rPr>
                <w:rFonts w:ascii="Arial" w:hAnsi="Arial" w:cs="Arial"/>
                <w:color w:val="1F3A75"/>
                <w:sz w:val="18"/>
                <w:szCs w:val="18"/>
                <w:shd w:val="clear" w:color="auto" w:fill="E4F3CF"/>
              </w:rPr>
              <w:t xml:space="preserve">[IČO]</w:t>
            </w:r>
          </w:p>
          <w:p>
            <w:pPr>
              <w:spacing w:before="0" w:after="0" w:line="248" w:lineRule="auto"/>
            </w:pPr>
            <w:r>
              <w:rPr>
                <w:rFonts w:ascii="Arial" w:hAnsi="Arial" w:cs="Arial"/>
                <w:color w:val="1F3A75"/>
                <w:sz w:val="18"/>
                <w:szCs w:val="18"/>
                <w:shd w:val="clear" w:color="auto" w:fill="E4F3CF"/>
              </w:rPr>
              <w:t xml:space="preserve">[ID datové schránky / e-mail]</w:t>
            </w:r>
          </w:p>
        </w:tc>
        <w:tc>
          <w:tcPr>
            <w:tcW w:w="120" w:type="dxa"/>
            <w:tcBorders>
              <w:top w:val="nil"/>
              <w:left w:val="nil"/>
              <w:bottom w:val="nil"/>
              <w:right w:val="nil"/>
            </w:tcBorders>
            <w:vAlign w:val="top"/>
          </w:tcPr>
          <w:p>
            <w:pPr>
              <w:spacing w:before="0" w:after="0" w:line="20" w:lineRule="exact"/>
            </w:pPr>
          </w:p>
        </w:tc>
        <w:tc>
          <w:tcPr>
            <w:tcW w:w="4759" w:type="dxa"/>
            <w:tcBorders>
              <w:top w:val="single" w:sz="12" w:space="0" w:color="335CB5"/>
              <w:left w:val="nil"/>
              <w:bottom w:val="nil"/>
              <w:right w:val="nil"/>
            </w:tcBorders>
            <w:shd w:val="clear" w:color="auto" w:fill="EDF3FB"/>
            <w:tcMar>
              <w:top w:w="90" w:type="dxa"/>
              <w:left w:w="170" w:type="dxa"/>
              <w:bottom w:w="110" w:type="dxa"/>
              <w:right w:w="120" w:type="dxa"/>
            </w:tcMar>
            <w:vAlign w:val="top"/>
          </w:tcPr>
          <w:p>
            <w:pPr>
              <w:keepNext/>
              <w:spacing w:before="0" w:after="30" w:line="248" w:lineRule="auto"/>
            </w:pPr>
            <w:r>
              <w:rPr>
                <w:rFonts w:ascii="Arial" w:hAnsi="Arial" w:cs="Arial"/>
                <w:b/>
                <w:bCs/>
                <w:caps/>
                <w:color w:val="5B6675"/>
                <w:spacing w:val="12"/>
                <w:sz w:val="14"/>
                <w:szCs w:val="14"/>
              </w:rPr>
              <w:t xml:space="preserve">Adresát</w:t>
            </w:r>
          </w:p>
          <w:p>
            <w:pPr>
              <w:spacing w:before="0" w:after="10" w:line="248" w:lineRule="auto"/>
            </w:pPr>
            <w:r>
              <w:rPr>
                <w:rFonts w:ascii="Arial" w:hAnsi="Arial" w:cs="Arial"/>
                <w:b/>
                <w:bCs/>
                <w:color w:val="1B2430"/>
                <w:sz w:val="18"/>
                <w:szCs w:val="18"/>
              </w:rPr>
              <w:t xml:space="preserve">Specializovaný finanční úřad</w:t>
            </w:r>
          </w:p>
          <w:p>
            <w:pPr>
              <w:spacing w:before="0" w:after="10" w:line="248" w:lineRule="auto"/>
            </w:pPr>
            <w:r>
              <w:rPr>
                <w:rFonts w:ascii="Arial" w:hAnsi="Arial" w:cs="Arial"/>
                <w:color w:val="1F3A75"/>
                <w:sz w:val="18"/>
                <w:szCs w:val="18"/>
                <w:shd w:val="clear" w:color="auto" w:fill="E4F3CF"/>
              </w:rPr>
              <w:t xml:space="preserve">[oddělení cenové kontroly]</w:t>
            </w:r>
          </w:p>
          <w:p>
            <w:pPr>
              <w:spacing w:before="0" w:after="10" w:line="248" w:lineRule="auto"/>
            </w:pPr>
            <w:r>
              <w:rPr>
                <w:rFonts w:ascii="Arial" w:hAnsi="Arial" w:cs="Arial"/>
                <w:color w:val="1F3A75"/>
                <w:sz w:val="18"/>
                <w:szCs w:val="18"/>
                <w:shd w:val="clear" w:color="auto" w:fill="E4F3CF"/>
              </w:rPr>
              <w:t xml:space="preserve">[adresa]</w:t>
            </w:r>
          </w:p>
          <w:p>
            <w:pPr>
              <w:spacing w:before="0" w:after="0" w:line="248" w:lineRule="auto"/>
            </w:pPr>
            <w:r>
              <w:rPr>
                <w:rFonts w:ascii="Arial" w:hAnsi="Arial" w:cs="Arial"/>
                <w:color w:val="5B6675"/>
                <w:sz w:val="18"/>
                <w:szCs w:val="18"/>
              </w:rPr>
              <w:t xml:space="preserve">K č. j. </w:t>
            </w:r>
            <w:r>
              <w:rPr>
                <w:rFonts w:ascii="Arial" w:hAnsi="Arial" w:cs="Arial"/>
                <w:color w:val="1F3A75"/>
                <w:sz w:val="18"/>
                <w:szCs w:val="18"/>
                <w:shd w:val="clear" w:color="auto" w:fill="E4F3CF"/>
              </w:rPr>
              <w:t xml:space="preserve">[číslo jednací]</w:t>
            </w:r>
          </w:p>
        </w:tc>
      </w:tr>
    </w:tbl>
    <w:p>
      <w:pPr>
        <w:spacing w:before="100" w:after="0" w:line="248" w:lineRule="auto"/>
        <w:jc w:val="right"/>
      </w:pPr>
      <w:r>
        <w:rPr>
          <w:rFonts w:ascii="Arial" w:hAnsi="Arial" w:cs="Arial"/>
          <w:color w:val="1B2430"/>
          <w:sz w:val="18"/>
          <w:szCs w:val="18"/>
        </w:rPr>
        <w:t xml:space="preserve">V </w:t>
      </w:r>
      <w:r>
        <w:rPr>
          <w:rFonts w:ascii="Arial" w:hAnsi="Arial" w:cs="Arial"/>
          <w:color w:val="1F3A75"/>
          <w:sz w:val="18"/>
          <w:szCs w:val="18"/>
          <w:shd w:val="clear" w:color="auto" w:fill="E4F3CF"/>
        </w:rPr>
        <w:t xml:space="preserve">[místo]</w:t>
      </w:r>
      <w:r>
        <w:rPr>
          <w:rFonts w:ascii="Arial" w:hAnsi="Arial" w:cs="Arial"/>
          <w:color w:val="1B2430"/>
          <w:sz w:val="18"/>
          <w:szCs w:val="18"/>
        </w:rPr>
        <w:t xml:space="preserve"> dne </w:t>
      </w:r>
      <w:r>
        <w:rPr>
          <w:rFonts w:ascii="Arial" w:hAnsi="Arial" w:cs="Arial"/>
          <w:color w:val="1F3A75"/>
          <w:sz w:val="18"/>
          <w:szCs w:val="18"/>
          <w:shd w:val="clear" w:color="auto" w:fill="E4F3CF"/>
        </w:rPr>
        <w:t xml:space="preserve">[datum]</w:t>
      </w:r>
    </w:p>
    <w:p>
      <w:pPr>
        <w:keepNext/>
        <w:pBdr>
          <w:bottom w:val="single" w:sz="12" w:space="6" w:color="439321"/>
        </w:pBdr>
        <w:spacing w:before="220" w:after="90" w:line="300" w:lineRule="auto"/>
      </w:pPr>
      <w:r>
        <w:rPr>
          <w:rFonts w:ascii="Arial" w:hAnsi="Arial" w:cs="Arial"/>
          <w:b/>
          <w:bCs/>
          <w:color w:val="1F3A75"/>
          <w:spacing w:val="-4"/>
          <w:sz w:val="30"/>
          <w:szCs w:val="30"/>
        </w:rPr>
        <w:t xml:space="preserve">Vyjádření kontrolované osoby k zařazení spotřebního materiálu do minutové kalkulace</w:t>
      </w:r>
    </w:p>
    <w:p>
      <w:pPr>
        <w:spacing w:before="120" w:after="100" w:line="248" w:lineRule="auto"/>
        <w:jc w:val="both"/>
      </w:pPr>
      <w:r>
        <w:rPr>
          <w:rFonts w:ascii="Arial" w:hAnsi="Arial" w:cs="Arial"/>
          <w:color w:val="1B2430"/>
          <w:sz w:val="18"/>
          <w:szCs w:val="18"/>
        </w:rPr>
        <w:t xml:space="preserve">V návaznosti na </w:t>
      </w:r>
      <w:r>
        <w:rPr>
          <w:rFonts w:ascii="Arial" w:hAnsi="Arial" w:cs="Arial"/>
          <w:color w:val="1F3A75"/>
          <w:sz w:val="18"/>
          <w:szCs w:val="18"/>
          <w:shd w:val="clear" w:color="auto" w:fill="E4F3CF"/>
        </w:rPr>
        <w:t xml:space="preserve">[sdělení / protokol o kontrole]</w:t>
      </w:r>
      <w:r>
        <w:rPr>
          <w:rFonts w:ascii="Arial" w:hAnsi="Arial" w:cs="Arial"/>
          <w:color w:val="1B2430"/>
          <w:sz w:val="18"/>
          <w:szCs w:val="18"/>
        </w:rPr>
        <w:t xml:space="preserve"> č. j. </w:t>
      </w:r>
      <w:r>
        <w:rPr>
          <w:rFonts w:ascii="Arial" w:hAnsi="Arial" w:cs="Arial"/>
          <w:color w:val="1F3A75"/>
          <w:sz w:val="18"/>
          <w:szCs w:val="18"/>
          <w:shd w:val="clear" w:color="auto" w:fill="E4F3CF"/>
        </w:rPr>
        <w:t xml:space="preserve">[číslo jednací]</w:t>
      </w:r>
      <w:r>
        <w:rPr>
          <w:rFonts w:ascii="Arial" w:hAnsi="Arial" w:cs="Arial"/>
          <w:color w:val="1B2430"/>
          <w:sz w:val="18"/>
          <w:szCs w:val="18"/>
        </w:rPr>
        <w:t xml:space="preserve"> ze dne </w:t>
      </w:r>
      <w:r>
        <w:rPr>
          <w:rFonts w:ascii="Arial" w:hAnsi="Arial" w:cs="Arial"/>
          <w:color w:val="1F3A75"/>
          <w:sz w:val="18"/>
          <w:szCs w:val="18"/>
          <w:shd w:val="clear" w:color="auto" w:fill="E4F3CF"/>
        </w:rPr>
        <w:t xml:space="preserve">[datum]</w:t>
      </w:r>
      <w:r>
        <w:rPr>
          <w:rFonts w:ascii="Arial" w:hAnsi="Arial" w:cs="Arial"/>
          <w:color w:val="1B2430"/>
          <w:sz w:val="18"/>
          <w:szCs w:val="18"/>
        </w:rPr>
        <w:t xml:space="preserve"> podává kontrolovaná osoba toto vyjádření k závěru kontrolního orgánu, podle něhož spotřební zdravotnický materiál používaný pouze u některých zdravotních služeb (zejména výplňový kompozitní materiál, adheziva, cementy a otiskovací hmoty) nesmí být zahrnut do minutové kalkulace, má být kalkulován jako zvlášť účtovaná položka a jeho zahrnutí do minutové kalkulace zakládá ekonomicky neoprávněný náklad. </w:t>
      </w:r>
      <w:r>
        <w:rPr>
          <w:rFonts w:ascii="Arial" w:hAnsi="Arial" w:cs="Arial"/>
          <w:b/>
          <w:bCs/>
          <w:color w:val="1B2430"/>
          <w:sz w:val="18"/>
          <w:szCs w:val="18"/>
        </w:rPr>
        <w:t xml:space="preserve">Kontrolovaná osoba s tímto závěrem nesouhlasí</w:t>
      </w:r>
      <w:r>
        <w:rPr>
          <w:rFonts w:ascii="Arial" w:hAnsi="Arial" w:cs="Arial"/>
          <w:color w:val="1B2430"/>
          <w:sz w:val="18"/>
          <w:szCs w:val="18"/>
        </w:rPr>
        <w:t xml:space="preserve"> z důvodů uvedených níže.</w:t>
      </w:r>
    </w:p>
    <w:p>
      <w:pPr>
        <w:keepNext/>
        <w:keepLines/>
        <w:pBdr>
          <w:bottom w:val="single" w:sz="6" w:space="3" w:color="D9DEE5"/>
        </w:pBdr>
        <w:spacing w:before="150" w:after="60" w:line="248" w:lineRule="auto"/>
      </w:pPr>
      <w:r>
        <w:rPr>
          <w:rFonts w:ascii="Arial" w:hAnsi="Arial" w:cs="Arial"/>
          <w:b/>
          <w:bCs/>
          <w:color w:val="335CB5"/>
          <w:sz w:val="20"/>
          <w:szCs w:val="20"/>
        </w:rPr>
        <w:t xml:space="preserve">I. </w:t>
      </w:r>
      <w:r>
        <w:rPr>
          <w:rFonts w:ascii="Arial" w:hAnsi="Arial" w:cs="Arial"/>
          <w:b/>
          <w:bCs/>
          <w:color w:val="1F3A75"/>
          <w:sz w:val="20"/>
          <w:szCs w:val="20"/>
        </w:rPr>
        <w:t xml:space="preserve">Rozhodná ustanovení</w:t>
      </w:r>
    </w:p>
    <w:tbl>
      <w:tblPr>
        <w:tblW w:w="9638" w:type="dxa"/>
        <w:tblInd w:w="0" w:type="dxa"/>
        <w:tblLayout w:type="fixed"/>
        <w:tblCellMar>
          <w:top w:w="0" w:type="dxa"/>
          <w:left w:w="0" w:type="dxa"/>
          <w:bottom w:w="0" w:type="dxa"/>
          <w:right w:w="0" w:type="dxa"/>
        </w:tblCellMar>
        <w:tblLook w:val="0000"/>
      </w:tblPr>
      <w:tblGrid>
        <w:gridCol w:w="2500"/>
        <w:gridCol w:w="2150"/>
        <w:gridCol w:w="4988"/>
      </w:tblGrid>
      <w:tr>
        <w:trPr>
          <w:cantSplit/>
          <w:tblHeader/>
        </w:trPr>
        <w:tc>
          <w:tcPr>
            <w:tcW w:w="2500" w:type="dxa"/>
            <w:tcBorders>
              <w:bottom w:val="single" w:sz="8" w:space="0" w:color="1F3A75"/>
              <w:top w:val="nil"/>
              <w:left w:val="nil"/>
              <w:right w:val="nil"/>
            </w:tcBorders>
            <w:shd w:val="clear" w:color="auto" w:fill="EDF3FB"/>
            <w:tcMar>
              <w:top w:w="55" w:type="dxa"/>
              <w:left w:w="80" w:type="dxa"/>
              <w:bottom w:w="55" w:type="dxa"/>
              <w:right w:w="80" w:type="dxa"/>
            </w:tcMar>
            <w:vAlign w:val="top"/>
          </w:tcPr>
          <w:p>
            <w:pPr>
              <w:keepNext/>
              <w:spacing w:before="0" w:after="0" w:line="248" w:lineRule="auto"/>
            </w:pPr>
            <w:r>
              <w:rPr>
                <w:rFonts w:ascii="Arial" w:hAnsi="Arial" w:cs="Arial"/>
                <w:b/>
                <w:bCs/>
                <w:caps/>
                <w:color w:val="5B6675"/>
                <w:spacing w:val="12"/>
                <w:sz w:val="14"/>
                <w:szCs w:val="14"/>
              </w:rPr>
              <w:t xml:space="preserve">Předpis</w:t>
            </w:r>
          </w:p>
        </w:tc>
        <w:tc>
          <w:tcPr>
            <w:tcW w:w="2150" w:type="dxa"/>
            <w:tcBorders>
              <w:bottom w:val="single" w:sz="8" w:space="0" w:color="1F3A75"/>
              <w:top w:val="nil"/>
              <w:left w:val="nil"/>
              <w:right w:val="nil"/>
            </w:tcBorders>
            <w:shd w:val="clear" w:color="auto" w:fill="EDF3FB"/>
            <w:tcMar>
              <w:top w:w="55" w:type="dxa"/>
              <w:left w:w="80" w:type="dxa"/>
              <w:bottom w:w="55" w:type="dxa"/>
              <w:right w:w="80" w:type="dxa"/>
            </w:tcMar>
            <w:vAlign w:val="top"/>
          </w:tcPr>
          <w:p>
            <w:pPr>
              <w:keepNext/>
              <w:spacing w:before="0" w:after="0" w:line="248" w:lineRule="auto"/>
            </w:pPr>
            <w:r>
              <w:rPr>
                <w:rFonts w:ascii="Arial" w:hAnsi="Arial" w:cs="Arial"/>
                <w:b/>
                <w:bCs/>
                <w:caps/>
                <w:color w:val="5B6675"/>
                <w:spacing w:val="12"/>
                <w:sz w:val="14"/>
                <w:szCs w:val="14"/>
              </w:rPr>
              <w:t xml:space="preserve">Ustanovení</w:t>
            </w:r>
          </w:p>
        </w:tc>
        <w:tc>
          <w:tcPr>
            <w:tcW w:w="4988" w:type="dxa"/>
            <w:tcBorders>
              <w:bottom w:val="single" w:sz="8" w:space="0" w:color="1F3A75"/>
              <w:top w:val="nil"/>
              <w:left w:val="nil"/>
              <w:right w:val="nil"/>
            </w:tcBorders>
            <w:shd w:val="clear" w:color="auto" w:fill="EDF3FB"/>
            <w:tcMar>
              <w:top w:w="55" w:type="dxa"/>
              <w:left w:w="80" w:type="dxa"/>
              <w:bottom w:w="55" w:type="dxa"/>
              <w:right w:w="80" w:type="dxa"/>
            </w:tcMar>
            <w:vAlign w:val="top"/>
          </w:tcPr>
          <w:p>
            <w:pPr>
              <w:keepNext/>
              <w:spacing w:before="0" w:after="0" w:line="248" w:lineRule="auto"/>
            </w:pPr>
            <w:r>
              <w:rPr>
                <w:rFonts w:ascii="Arial" w:hAnsi="Arial" w:cs="Arial"/>
                <w:b/>
                <w:bCs/>
                <w:caps/>
                <w:color w:val="5B6675"/>
                <w:spacing w:val="12"/>
                <w:sz w:val="14"/>
                <w:szCs w:val="14"/>
              </w:rPr>
              <w:t xml:space="preserve">Rozhodné znění</w:t>
            </w:r>
          </w:p>
        </w:tc>
      </w:tr>
      <w:tr>
        <w:trPr>
          <w:cantSplit/>
        </w:trPr>
        <w:tc>
          <w:tcPr>
            <w:tcW w:w="2500" w:type="dxa"/>
            <w:tcBorders>
              <w:bottom w:val="single" w:sz="4" w:space="0" w:color="D9DEE5"/>
              <w:top w:val="nil"/>
              <w:left w:val="nil"/>
              <w:right w:val="nil"/>
            </w:tcBorders>
            <w:tcMar>
              <w:top w:w="55" w:type="dxa"/>
              <w:left w:w="80" w:type="dxa"/>
              <w:bottom w:w="55" w:type="dxa"/>
              <w:right w:w="80" w:type="dxa"/>
            </w:tcMar>
            <w:vAlign w:val="top"/>
          </w:tcPr>
          <w:p>
            <w:pPr>
              <w:spacing w:before="0" w:after="0" w:line="200" w:lineRule="auto"/>
            </w:pPr>
            <w:r>
              <w:rPr>
                <w:rFonts w:ascii="Arial" w:hAnsi="Arial" w:cs="Arial"/>
                <w:b/>
                <w:bCs/>
                <w:color w:val="1F3A75"/>
                <w:sz w:val="16"/>
                <w:szCs w:val="16"/>
              </w:rPr>
              <w:t xml:space="preserve">Zákon č. 526/1990 Sb., o cenách</w:t>
            </w:r>
          </w:p>
        </w:tc>
        <w:tc>
          <w:tcPr>
            <w:tcW w:w="2150" w:type="dxa"/>
            <w:tcBorders>
              <w:bottom w:val="single" w:sz="4" w:space="0" w:color="D9DEE5"/>
              <w:top w:val="nil"/>
              <w:left w:val="nil"/>
              <w:right w:val="nil"/>
            </w:tcBorders>
            <w:tcMar>
              <w:top w:w="55" w:type="dxa"/>
              <w:left w:w="80" w:type="dxa"/>
              <w:bottom w:w="55" w:type="dxa"/>
              <w:right w:w="80" w:type="dxa"/>
            </w:tcMar>
            <w:vAlign w:val="top"/>
          </w:tcPr>
          <w:p>
            <w:pPr>
              <w:spacing w:before="0" w:after="10" w:line="200" w:lineRule="auto"/>
            </w:pPr>
            <w:r>
              <w:rPr>
                <w:rFonts w:ascii="Arial" w:hAnsi="Arial" w:cs="Arial"/>
                <w:color w:val="1B2430"/>
                <w:sz w:val="16"/>
                <w:szCs w:val="16"/>
              </w:rPr>
              <w:t xml:space="preserve">§ 1 odst. 2 písm. h)</w:t>
            </w:r>
          </w:p>
          <w:p>
            <w:pPr>
              <w:spacing w:before="0" w:after="0" w:line="200" w:lineRule="auto"/>
            </w:pPr>
            <w:r>
              <w:rPr>
                <w:rFonts w:ascii="Arial" w:hAnsi="Arial" w:cs="Arial"/>
                <w:i/>
                <w:iCs/>
                <w:color w:val="5B6675"/>
                <w:sz w:val="15"/>
                <w:szCs w:val="15"/>
              </w:rPr>
              <w:t xml:space="preserve">(do 31. 12. 2024 § 2 odst. 7 písm. a))</w:t>
            </w:r>
          </w:p>
        </w:tc>
        <w:tc>
          <w:tcPr>
            <w:tcW w:w="4988" w:type="dxa"/>
            <w:tcBorders>
              <w:bottom w:val="single" w:sz="4" w:space="0" w:color="D9DEE5"/>
              <w:top w:val="nil"/>
              <w:left w:val="nil"/>
              <w:right w:val="nil"/>
            </w:tcBorders>
            <w:tcMar>
              <w:top w:w="55" w:type="dxa"/>
              <w:left w:w="80" w:type="dxa"/>
              <w:bottom w:w="55" w:type="dxa"/>
              <w:right w:w="80" w:type="dxa"/>
            </w:tcMar>
            <w:vAlign w:val="top"/>
          </w:tcPr>
          <w:p>
            <w:pPr>
              <w:spacing w:before="0" w:after="0" w:line="200" w:lineRule="auto"/>
            </w:pPr>
            <w:r>
              <w:rPr>
                <w:rFonts w:ascii="Arial" w:hAnsi="Arial" w:cs="Arial"/>
                <w:color w:val="1B2430"/>
                <w:sz w:val="16"/>
                <w:szCs w:val="16"/>
              </w:rPr>
              <w:t xml:space="preserve">Ekonomicky oprávněnými náklady jsou „náklady pořízení odpovídajícího množství </w:t>
            </w:r>
            <w:r>
              <w:rPr>
                <w:rFonts w:ascii="Arial" w:hAnsi="Arial" w:cs="Arial"/>
                <w:b/>
                <w:bCs/>
                <w:color w:val="1B2430"/>
                <w:sz w:val="16"/>
                <w:szCs w:val="16"/>
              </w:rPr>
              <w:t xml:space="preserve">přímého materiálu</w:t>
            </w:r>
            <w:r>
              <w:rPr>
                <w:rFonts w:ascii="Arial" w:hAnsi="Arial" w:cs="Arial"/>
                <w:color w:val="1B2430"/>
                <w:sz w:val="16"/>
                <w:szCs w:val="16"/>
              </w:rPr>
              <w:t xml:space="preserve">, mzdové a ostatní osobní náklady, technologicky nezbytné ostatní přímé a nepřímé náklady a náklady oběhu“.</w:t>
            </w:r>
          </w:p>
        </w:tc>
      </w:tr>
      <w:tr>
        <w:trPr>
          <w:cantSplit/>
        </w:trPr>
        <w:tc>
          <w:tcPr>
            <w:tcW w:w="2500" w:type="dxa"/>
            <w:tcBorders>
              <w:bottom w:val="single" w:sz="4" w:space="0" w:color="D9DEE5"/>
              <w:top w:val="nil"/>
              <w:left w:val="nil"/>
              <w:right w:val="nil"/>
            </w:tcBorders>
            <w:tcMar>
              <w:top w:w="55" w:type="dxa"/>
              <w:left w:w="80" w:type="dxa"/>
              <w:bottom w:w="55" w:type="dxa"/>
              <w:right w:w="80" w:type="dxa"/>
            </w:tcMar>
            <w:vAlign w:val="top"/>
          </w:tcPr>
          <w:p>
            <w:pPr>
              <w:spacing w:before="0" w:after="0" w:line="200" w:lineRule="auto"/>
            </w:pPr>
            <w:r>
              <w:rPr>
                <w:rFonts w:ascii="Arial" w:hAnsi="Arial" w:cs="Arial"/>
                <w:b/>
                <w:bCs/>
                <w:color w:val="1F3A75"/>
                <w:sz w:val="16"/>
                <w:szCs w:val="16"/>
              </w:rPr>
              <w:t xml:space="preserve">Cenový předpis Ministerstva zdravotnictví </w:t>
            </w:r>
            <w:r>
              <w:rPr>
                <w:rFonts w:ascii="Arial" w:hAnsi="Arial" w:cs="Arial"/>
                <w:b/>
                <w:bCs/>
                <w:color w:val="1F3A75"/>
                <w:sz w:val="16"/>
                <w:szCs w:val="16"/>
                <w:shd w:val="clear" w:color="auto" w:fill="E4F3CF"/>
              </w:rPr>
              <w:t xml:space="preserve">[označení předpisu, např. 1/2025/CAU]</w:t>
            </w:r>
          </w:p>
        </w:tc>
        <w:tc>
          <w:tcPr>
            <w:tcW w:w="2150" w:type="dxa"/>
            <w:tcBorders>
              <w:bottom w:val="single" w:sz="4" w:space="0" w:color="D9DEE5"/>
              <w:top w:val="nil"/>
              <w:left w:val="nil"/>
              <w:right w:val="nil"/>
            </w:tcBorders>
            <w:tcMar>
              <w:top w:w="55" w:type="dxa"/>
              <w:left w:w="80" w:type="dxa"/>
              <w:bottom w:w="55" w:type="dxa"/>
              <w:right w:w="80" w:type="dxa"/>
            </w:tcMar>
            <w:vAlign w:val="top"/>
          </w:tcPr>
          <w:p>
            <w:pPr>
              <w:spacing w:before="0" w:after="10" w:line="200" w:lineRule="auto"/>
            </w:pPr>
            <w:r>
              <w:rPr>
                <w:rFonts w:ascii="Arial" w:hAnsi="Arial" w:cs="Arial"/>
                <w:color w:val="1B2430"/>
                <w:sz w:val="16"/>
                <w:szCs w:val="16"/>
              </w:rPr>
              <w:t xml:space="preserve">Část II, Oddíl D, bod 4</w:t>
            </w:r>
          </w:p>
          <w:p>
            <w:pPr>
              <w:spacing w:before="0" w:after="0" w:line="200" w:lineRule="auto"/>
            </w:pPr>
            <w:r>
              <w:rPr>
                <w:rFonts w:ascii="Arial" w:hAnsi="Arial" w:cs="Arial"/>
                <w:i/>
                <w:iCs/>
                <w:color w:val="5B6675"/>
                <w:sz w:val="15"/>
                <w:szCs w:val="15"/>
              </w:rPr>
              <w:t xml:space="preserve">přímý materiál</w:t>
            </w:r>
          </w:p>
        </w:tc>
        <w:tc>
          <w:tcPr>
            <w:tcW w:w="4988" w:type="dxa"/>
            <w:tcBorders>
              <w:bottom w:val="single" w:sz="4" w:space="0" w:color="D9DEE5"/>
              <w:top w:val="nil"/>
              <w:left w:val="nil"/>
              <w:right w:val="nil"/>
            </w:tcBorders>
            <w:tcMar>
              <w:top w:w="55" w:type="dxa"/>
              <w:left w:w="80" w:type="dxa"/>
              <w:bottom w:w="55" w:type="dxa"/>
              <w:right w:w="80" w:type="dxa"/>
            </w:tcMar>
            <w:vAlign w:val="top"/>
          </w:tcPr>
          <w:p>
            <w:pPr>
              <w:spacing w:before="0" w:after="0" w:line="200" w:lineRule="auto"/>
            </w:pPr>
            <w:r>
              <w:rPr>
                <w:rFonts w:ascii="Arial" w:hAnsi="Arial" w:cs="Arial"/>
                <w:color w:val="1B2430"/>
                <w:sz w:val="16"/>
                <w:szCs w:val="16"/>
              </w:rPr>
              <w:t xml:space="preserve">Ekonomicky oprávněné náklady v minutové kalkulaci zahrnují „přímý materiál obsahující </w:t>
            </w:r>
            <w:r>
              <w:rPr>
                <w:rFonts w:ascii="Arial" w:hAnsi="Arial" w:cs="Arial"/>
                <w:b/>
                <w:bCs/>
                <w:color w:val="1B2430"/>
                <w:sz w:val="16"/>
                <w:szCs w:val="16"/>
              </w:rPr>
              <w:t xml:space="preserve">veškerý materiál přímo použitý</w:t>
            </w:r>
            <w:r>
              <w:rPr>
                <w:rFonts w:ascii="Arial" w:hAnsi="Arial" w:cs="Arial"/>
                <w:color w:val="1B2430"/>
                <w:sz w:val="16"/>
                <w:szCs w:val="16"/>
              </w:rPr>
              <w:t xml:space="preserve"> při poskytování zdravotních služeb, s výjimkou zvlášť účtovaných položek“.</w:t>
            </w:r>
          </w:p>
        </w:tc>
      </w:tr>
      <w:tr>
        <w:trPr>
          <w:cantSplit/>
        </w:trPr>
        <w:tc>
          <w:tcPr>
            <w:tcW w:w="2500" w:type="dxa"/>
            <w:tcBorders>
              <w:bottom w:val="single" w:sz="4" w:space="0" w:color="D9DEE5"/>
              <w:top w:val="nil"/>
              <w:left w:val="nil"/>
              <w:right w:val="nil"/>
            </w:tcBorders>
            <w:tcMar>
              <w:top w:w="55" w:type="dxa"/>
              <w:left w:w="80" w:type="dxa"/>
              <w:bottom w:w="55" w:type="dxa"/>
              <w:right w:w="80" w:type="dxa"/>
            </w:tcMar>
            <w:vAlign w:val="top"/>
          </w:tcPr>
          <w:p>
            <w:pPr>
              <w:spacing w:before="0" w:after="0" w:line="200" w:lineRule="auto"/>
            </w:pPr>
            <w:r>
              <w:rPr>
                <w:rFonts w:ascii="Arial" w:hAnsi="Arial" w:cs="Arial"/>
                <w:i/>
                <w:iCs/>
                <w:color w:val="5B6675"/>
                <w:sz w:val="16"/>
                <w:szCs w:val="16"/>
              </w:rPr>
              <w:t xml:space="preserve">tamtéž</w:t>
            </w:r>
          </w:p>
        </w:tc>
        <w:tc>
          <w:tcPr>
            <w:tcW w:w="2150" w:type="dxa"/>
            <w:tcBorders>
              <w:bottom w:val="single" w:sz="4" w:space="0" w:color="D9DEE5"/>
              <w:top w:val="nil"/>
              <w:left w:val="nil"/>
              <w:right w:val="nil"/>
            </w:tcBorders>
            <w:tcMar>
              <w:top w:w="55" w:type="dxa"/>
              <w:left w:w="80" w:type="dxa"/>
              <w:bottom w:w="55" w:type="dxa"/>
              <w:right w:w="80" w:type="dxa"/>
            </w:tcMar>
            <w:vAlign w:val="top"/>
          </w:tcPr>
          <w:p>
            <w:pPr>
              <w:spacing w:before="0" w:after="10" w:line="200" w:lineRule="auto"/>
            </w:pPr>
            <w:r>
              <w:rPr>
                <w:rFonts w:ascii="Arial" w:hAnsi="Arial" w:cs="Arial"/>
                <w:color w:val="1B2430"/>
                <w:sz w:val="16"/>
                <w:szCs w:val="16"/>
              </w:rPr>
              <w:t xml:space="preserve">Část II, Oddíl D, bod 4</w:t>
            </w:r>
          </w:p>
          <w:p>
            <w:pPr>
              <w:spacing w:before="0" w:after="0" w:line="200" w:lineRule="auto"/>
            </w:pPr>
            <w:r>
              <w:rPr>
                <w:rFonts w:ascii="Arial" w:hAnsi="Arial" w:cs="Arial"/>
                <w:i/>
                <w:iCs/>
                <w:color w:val="5B6675"/>
                <w:sz w:val="15"/>
                <w:szCs w:val="15"/>
              </w:rPr>
              <w:t xml:space="preserve">zvlášť účtovaná položka</w:t>
            </w:r>
          </w:p>
        </w:tc>
        <w:tc>
          <w:tcPr>
            <w:tcW w:w="4988" w:type="dxa"/>
            <w:tcBorders>
              <w:bottom w:val="single" w:sz="4" w:space="0" w:color="D9DEE5"/>
              <w:top w:val="nil"/>
              <w:left w:val="nil"/>
              <w:right w:val="nil"/>
            </w:tcBorders>
            <w:tcMar>
              <w:top w:w="55" w:type="dxa"/>
              <w:left w:w="80" w:type="dxa"/>
              <w:bottom w:w="55" w:type="dxa"/>
              <w:right w:w="80" w:type="dxa"/>
            </w:tcMar>
            <w:vAlign w:val="top"/>
          </w:tcPr>
          <w:p>
            <w:pPr>
              <w:spacing w:before="0" w:after="0" w:line="200" w:lineRule="auto"/>
            </w:pPr>
            <w:r>
              <w:rPr>
                <w:rFonts w:ascii="Arial" w:hAnsi="Arial" w:cs="Arial"/>
                <w:color w:val="1B2430"/>
                <w:sz w:val="16"/>
                <w:szCs w:val="16"/>
              </w:rPr>
              <w:t xml:space="preserve">„Jako zvlášť účtovaná položka </w:t>
            </w:r>
            <w:r>
              <w:rPr>
                <w:rFonts w:ascii="Arial" w:hAnsi="Arial" w:cs="Arial"/>
                <w:b/>
                <w:bCs/>
                <w:color w:val="1B2430"/>
                <w:sz w:val="16"/>
                <w:szCs w:val="16"/>
              </w:rPr>
              <w:t xml:space="preserve">může být</w:t>
            </w:r>
            <w:r>
              <w:rPr>
                <w:rFonts w:ascii="Arial" w:hAnsi="Arial" w:cs="Arial"/>
                <w:color w:val="1B2430"/>
                <w:sz w:val="16"/>
                <w:szCs w:val="16"/>
              </w:rPr>
              <w:t xml:space="preserve"> ke zdravotní službě kalkulován </w:t>
            </w:r>
            <w:r>
              <w:rPr>
                <w:rFonts w:ascii="Arial" w:hAnsi="Arial" w:cs="Arial"/>
                <w:b/>
                <w:bCs/>
                <w:color w:val="1B2430"/>
                <w:sz w:val="16"/>
                <w:szCs w:val="16"/>
              </w:rPr>
              <w:t xml:space="preserve">pouze</w:t>
            </w:r>
            <w:r>
              <w:rPr>
                <w:rFonts w:ascii="Arial" w:hAnsi="Arial" w:cs="Arial"/>
                <w:color w:val="1B2430"/>
                <w:sz w:val="16"/>
                <w:szCs w:val="16"/>
              </w:rPr>
              <w:t xml:space="preserve"> léčivý přípravek, potravina pro zvláštní lékařské účely, zdravotnický prostředek nebo stomatologický výrobek při poskytnutí zdravotní služby jednoznačně spotřebovaný, </w:t>
            </w:r>
            <w:r>
              <w:rPr>
                <w:rFonts w:ascii="Arial" w:hAnsi="Arial" w:cs="Arial"/>
                <w:b/>
                <w:bCs/>
                <w:color w:val="1B2430"/>
                <w:sz w:val="16"/>
                <w:szCs w:val="16"/>
              </w:rPr>
              <w:t xml:space="preserve">který není zahrnutý do minutové kalkulace</w:t>
            </w:r>
            <w:r>
              <w:rPr>
                <w:rFonts w:ascii="Arial" w:hAnsi="Arial" w:cs="Arial"/>
                <w:color w:val="1B2430"/>
                <w:sz w:val="16"/>
                <w:szCs w:val="16"/>
              </w:rPr>
              <w:t xml:space="preserve">, a u něhož potřeba jeho spotřebování při poskytnutí zdravotní služby je individuální pro konkrétního pacienta.“</w:t>
            </w:r>
          </w:p>
        </w:tc>
      </w:tr>
      <w:tr>
        <w:trPr>
          <w:cantSplit/>
        </w:trPr>
        <w:tc>
          <w:tcPr>
            <w:tcW w:w="2500" w:type="dxa"/>
            <w:tcBorders>
              <w:bottom w:val="single" w:sz="4" w:space="0" w:color="D9DEE5"/>
              <w:top w:val="nil"/>
              <w:left w:val="nil"/>
              <w:right w:val="nil"/>
            </w:tcBorders>
            <w:tcMar>
              <w:top w:w="55" w:type="dxa"/>
              <w:left w:w="80" w:type="dxa"/>
              <w:bottom w:w="55" w:type="dxa"/>
              <w:right w:w="80" w:type="dxa"/>
            </w:tcMar>
            <w:vAlign w:val="top"/>
          </w:tcPr>
          <w:p>
            <w:pPr>
              <w:spacing w:before="0" w:after="0" w:line="200" w:lineRule="auto"/>
            </w:pPr>
            <w:r>
              <w:rPr>
                <w:rFonts w:ascii="Arial" w:hAnsi="Arial" w:cs="Arial"/>
                <w:i/>
                <w:iCs/>
                <w:color w:val="5B6675"/>
                <w:sz w:val="16"/>
                <w:szCs w:val="16"/>
              </w:rPr>
              <w:t xml:space="preserve">tamtéž</w:t>
            </w:r>
          </w:p>
        </w:tc>
        <w:tc>
          <w:tcPr>
            <w:tcW w:w="2150" w:type="dxa"/>
            <w:tcBorders>
              <w:bottom w:val="single" w:sz="4" w:space="0" w:color="D9DEE5"/>
              <w:top w:val="nil"/>
              <w:left w:val="nil"/>
              <w:right w:val="nil"/>
            </w:tcBorders>
            <w:tcMar>
              <w:top w:w="55" w:type="dxa"/>
              <w:left w:w="80" w:type="dxa"/>
              <w:bottom w:w="55" w:type="dxa"/>
              <w:right w:w="80" w:type="dxa"/>
            </w:tcMar>
            <w:vAlign w:val="top"/>
          </w:tcPr>
          <w:p>
            <w:pPr>
              <w:spacing w:before="0" w:after="10" w:line="200" w:lineRule="auto"/>
            </w:pPr>
            <w:r>
              <w:rPr>
                <w:rFonts w:ascii="Arial" w:hAnsi="Arial" w:cs="Arial"/>
                <w:color w:val="1B2430"/>
                <w:sz w:val="16"/>
                <w:szCs w:val="16"/>
              </w:rPr>
              <w:t xml:space="preserve">Část II, Oddíl D, bod 4</w:t>
            </w:r>
          </w:p>
          <w:p>
            <w:pPr>
              <w:spacing w:before="0" w:after="0" w:line="200" w:lineRule="auto"/>
            </w:pPr>
            <w:r>
              <w:rPr>
                <w:rFonts w:ascii="Arial" w:hAnsi="Arial" w:cs="Arial"/>
                <w:i/>
                <w:iCs/>
                <w:color w:val="5B6675"/>
                <w:sz w:val="15"/>
                <w:szCs w:val="15"/>
              </w:rPr>
              <w:t xml:space="preserve">čas trvání zdravotní služby</w:t>
            </w:r>
          </w:p>
        </w:tc>
        <w:tc>
          <w:tcPr>
            <w:tcW w:w="4988" w:type="dxa"/>
            <w:tcBorders>
              <w:bottom w:val="single" w:sz="4" w:space="0" w:color="D9DEE5"/>
              <w:top w:val="nil"/>
              <w:left w:val="nil"/>
              <w:right w:val="nil"/>
            </w:tcBorders>
            <w:tcMar>
              <w:top w:w="55" w:type="dxa"/>
              <w:left w:w="80" w:type="dxa"/>
              <w:bottom w:w="55" w:type="dxa"/>
              <w:right w:w="80" w:type="dxa"/>
            </w:tcMar>
            <w:vAlign w:val="top"/>
          </w:tcPr>
          <w:p>
            <w:pPr>
              <w:spacing w:before="0" w:after="0" w:line="200" w:lineRule="auto"/>
            </w:pPr>
            <w:r>
              <w:rPr>
                <w:rFonts w:ascii="Arial" w:hAnsi="Arial" w:cs="Arial"/>
                <w:color w:val="1B2430"/>
                <w:sz w:val="16"/>
                <w:szCs w:val="16"/>
              </w:rPr>
              <w:t xml:space="preserve">„Čas trvání zdravotní služby odpovídá </w:t>
            </w:r>
            <w:r>
              <w:rPr>
                <w:rFonts w:ascii="Arial" w:hAnsi="Arial" w:cs="Arial"/>
                <w:b/>
                <w:bCs/>
                <w:color w:val="1B2430"/>
                <w:sz w:val="16"/>
                <w:szCs w:val="16"/>
              </w:rPr>
              <w:t xml:space="preserve">průměrnému času</w:t>
            </w:r>
            <w:r>
              <w:rPr>
                <w:rFonts w:ascii="Arial" w:hAnsi="Arial" w:cs="Arial"/>
                <w:color w:val="1B2430"/>
                <w:sz w:val="16"/>
                <w:szCs w:val="16"/>
              </w:rPr>
              <w:t xml:space="preserve"> potřebnému k poskytnutí zdravotní služby na náležité odborné úrovni.“</w:t>
            </w:r>
          </w:p>
        </w:tc>
      </w:tr>
      <w:tr>
        <w:trPr>
          <w:cantSplit/>
        </w:trPr>
        <w:tc>
          <w:tcPr>
            <w:tcW w:w="2500" w:type="dxa"/>
            <w:tcBorders>
              <w:bottom w:val="single" w:sz="4" w:space="0" w:color="D9DEE5"/>
              <w:top w:val="nil"/>
              <w:left w:val="nil"/>
              <w:right w:val="nil"/>
            </w:tcBorders>
            <w:tcMar>
              <w:top w:w="55" w:type="dxa"/>
              <w:left w:w="80" w:type="dxa"/>
              <w:bottom w:w="55" w:type="dxa"/>
              <w:right w:w="80" w:type="dxa"/>
            </w:tcMar>
            <w:vAlign w:val="top"/>
          </w:tcPr>
          <w:p>
            <w:pPr>
              <w:spacing w:before="0" w:after="0" w:line="200" w:lineRule="auto"/>
            </w:pPr>
            <w:r>
              <w:rPr>
                <w:rFonts w:ascii="Arial" w:hAnsi="Arial" w:cs="Arial"/>
                <w:b/>
                <w:bCs/>
                <w:color w:val="1F3A75"/>
                <w:sz w:val="16"/>
                <w:szCs w:val="16"/>
              </w:rPr>
              <w:t xml:space="preserve">Cenový předpis Ministerstva zdravotnictví 1/2021/CAU (znění účinné do 31. 12. 2021)</w:t>
            </w:r>
          </w:p>
        </w:tc>
        <w:tc>
          <w:tcPr>
            <w:tcW w:w="2150" w:type="dxa"/>
            <w:tcBorders>
              <w:bottom w:val="single" w:sz="4" w:space="0" w:color="D9DEE5"/>
              <w:top w:val="nil"/>
              <w:left w:val="nil"/>
              <w:right w:val="nil"/>
            </w:tcBorders>
            <w:tcMar>
              <w:top w:w="55" w:type="dxa"/>
              <w:left w:w="80" w:type="dxa"/>
              <w:bottom w:w="55" w:type="dxa"/>
              <w:right w:w="80" w:type="dxa"/>
            </w:tcMar>
            <w:vAlign w:val="top"/>
          </w:tcPr>
          <w:p>
            <w:pPr>
              <w:spacing w:before="0" w:after="10" w:line="200" w:lineRule="auto"/>
            </w:pPr>
            <w:r>
              <w:rPr>
                <w:rFonts w:ascii="Arial" w:hAnsi="Arial" w:cs="Arial"/>
                <w:color w:val="1B2430"/>
                <w:sz w:val="16"/>
                <w:szCs w:val="16"/>
              </w:rPr>
              <w:t xml:space="preserve">Část II, Oddíl D, bod 4</w:t>
            </w:r>
          </w:p>
          <w:p>
            <w:pPr>
              <w:spacing w:before="0" w:after="0" w:line="200" w:lineRule="auto"/>
            </w:pPr>
            <w:r>
              <w:rPr>
                <w:rFonts w:ascii="Arial" w:hAnsi="Arial" w:cs="Arial"/>
                <w:i/>
                <w:iCs/>
                <w:color w:val="5B6675"/>
                <w:sz w:val="15"/>
                <w:szCs w:val="15"/>
              </w:rPr>
              <w:t xml:space="preserve">přímý materiál</w:t>
            </w:r>
          </w:p>
        </w:tc>
        <w:tc>
          <w:tcPr>
            <w:tcW w:w="4988" w:type="dxa"/>
            <w:tcBorders>
              <w:bottom w:val="single" w:sz="4" w:space="0" w:color="D9DEE5"/>
              <w:top w:val="nil"/>
              <w:left w:val="nil"/>
              <w:right w:val="nil"/>
            </w:tcBorders>
            <w:tcMar>
              <w:top w:w="55" w:type="dxa"/>
              <w:left w:w="80" w:type="dxa"/>
              <w:bottom w:w="55" w:type="dxa"/>
              <w:right w:w="80" w:type="dxa"/>
            </w:tcMar>
            <w:vAlign w:val="top"/>
          </w:tcPr>
          <w:p>
            <w:pPr>
              <w:spacing w:before="0" w:after="0" w:line="200" w:lineRule="auto"/>
            </w:pPr>
            <w:r>
              <w:rPr>
                <w:rFonts w:ascii="Arial" w:hAnsi="Arial" w:cs="Arial"/>
                <w:color w:val="1B2430"/>
                <w:sz w:val="16"/>
                <w:szCs w:val="16"/>
              </w:rPr>
              <w:t xml:space="preserve">„Přímý materiál obsahující </w:t>
            </w:r>
            <w:r>
              <w:rPr>
                <w:rFonts w:ascii="Arial" w:hAnsi="Arial" w:cs="Arial"/>
                <w:b/>
                <w:bCs/>
                <w:color w:val="1B2430"/>
                <w:sz w:val="16"/>
                <w:szCs w:val="16"/>
              </w:rPr>
              <w:t xml:space="preserve">základní společný materiál, který lze použít u všech poskytovaných zdravotních služeb</w:t>
            </w:r>
            <w:r>
              <w:rPr>
                <w:rFonts w:ascii="Arial" w:hAnsi="Arial" w:cs="Arial"/>
                <w:color w:val="1B2430"/>
                <w:sz w:val="16"/>
                <w:szCs w:val="16"/>
              </w:rPr>
              <w:t xml:space="preserve">, s výjimkou zvlášť účtovaných položek …“</w:t>
            </w:r>
          </w:p>
        </w:tc>
      </w:tr>
      <w:tr>
        <w:trPr>
          <w:cantSplit/>
        </w:trPr>
        <w:tc>
          <w:tcPr>
            <w:tcW w:w="2500" w:type="dxa"/>
            <w:tcBorders>
              <w:bottom w:val="single" w:sz="4" w:space="0" w:color="D9DEE5"/>
              <w:top w:val="nil"/>
              <w:left w:val="nil"/>
              <w:right w:val="nil"/>
            </w:tcBorders>
            <w:tcMar>
              <w:top w:w="55" w:type="dxa"/>
              <w:left w:w="80" w:type="dxa"/>
              <w:bottom w:w="55" w:type="dxa"/>
              <w:right w:w="80" w:type="dxa"/>
            </w:tcMar>
            <w:vAlign w:val="top"/>
          </w:tcPr>
          <w:p>
            <w:pPr>
              <w:spacing w:before="0" w:after="0" w:line="200" w:lineRule="auto"/>
            </w:pPr>
            <w:r>
              <w:rPr>
                <w:rFonts w:ascii="Arial" w:hAnsi="Arial" w:cs="Arial"/>
                <w:b/>
                <w:bCs/>
                <w:color w:val="1F3A75"/>
                <w:sz w:val="16"/>
                <w:szCs w:val="16"/>
              </w:rPr>
              <w:t xml:space="preserve">Metodika cenotvorby zdravotních služeb regulovaných věcným usměrňováním cen (Věstník MZ ČR, částka 13/2021)</w:t>
            </w:r>
          </w:p>
        </w:tc>
        <w:tc>
          <w:tcPr>
            <w:tcW w:w="2150" w:type="dxa"/>
            <w:tcBorders>
              <w:bottom w:val="single" w:sz="4" w:space="0" w:color="D9DEE5"/>
              <w:top w:val="nil"/>
              <w:left w:val="nil"/>
              <w:right w:val="nil"/>
            </w:tcBorders>
            <w:tcMar>
              <w:top w:w="55" w:type="dxa"/>
              <w:left w:w="80" w:type="dxa"/>
              <w:bottom w:w="55" w:type="dxa"/>
              <w:right w:w="80" w:type="dxa"/>
            </w:tcMar>
            <w:vAlign w:val="top"/>
          </w:tcPr>
          <w:p>
            <w:pPr>
              <w:spacing w:before="0" w:after="10" w:line="200" w:lineRule="auto"/>
            </w:pPr>
            <w:r>
              <w:rPr>
                <w:rFonts w:ascii="Arial" w:hAnsi="Arial" w:cs="Arial"/>
                <w:color w:val="1B2430"/>
                <w:sz w:val="16"/>
                <w:szCs w:val="16"/>
              </w:rPr>
              <w:t xml:space="preserve">část III.1.1 písm. a)</w:t>
            </w:r>
          </w:p>
          <w:p>
            <w:pPr>
              <w:spacing w:before="0" w:after="0" w:line="200" w:lineRule="auto"/>
            </w:pPr>
            <w:r>
              <w:rPr>
                <w:rFonts w:ascii="Arial" w:hAnsi="Arial" w:cs="Arial"/>
                <w:i/>
                <w:iCs/>
                <w:color w:val="5B6675"/>
                <w:sz w:val="15"/>
                <w:szCs w:val="15"/>
              </w:rPr>
              <w:t xml:space="preserve">přímý materiál</w:t>
            </w:r>
          </w:p>
        </w:tc>
        <w:tc>
          <w:tcPr>
            <w:tcW w:w="4988" w:type="dxa"/>
            <w:tcBorders>
              <w:bottom w:val="single" w:sz="4" w:space="0" w:color="D9DEE5"/>
              <w:top w:val="nil"/>
              <w:left w:val="nil"/>
              <w:right w:val="nil"/>
            </w:tcBorders>
            <w:tcMar>
              <w:top w:w="55" w:type="dxa"/>
              <w:left w:w="80" w:type="dxa"/>
              <w:bottom w:w="55" w:type="dxa"/>
              <w:right w:w="80" w:type="dxa"/>
            </w:tcMar>
            <w:vAlign w:val="top"/>
          </w:tcPr>
          <w:p>
            <w:pPr>
              <w:spacing w:before="0" w:after="0" w:line="200" w:lineRule="auto"/>
            </w:pPr>
            <w:r>
              <w:rPr>
                <w:rFonts w:ascii="Arial" w:hAnsi="Arial" w:cs="Arial"/>
                <w:color w:val="1B2430"/>
                <w:sz w:val="16"/>
                <w:szCs w:val="16"/>
              </w:rPr>
              <w:t xml:space="preserve">Přímým materiálem je „materiál, který je při poskytování zdravotních služeb spotřebován, není-li do kalkulace zahrnován jako zvlášť účtovaná položka – např. </w:t>
            </w:r>
            <w:r>
              <w:rPr>
                <w:rFonts w:ascii="Arial" w:hAnsi="Arial" w:cs="Arial"/>
                <w:b/>
                <w:bCs/>
                <w:color w:val="1B2430"/>
                <w:sz w:val="16"/>
                <w:szCs w:val="16"/>
              </w:rPr>
              <w:t xml:space="preserve">náklady na jednoúčelové přístroje použité při některé zdravotní službě</w:t>
            </w:r>
            <w:r>
              <w:rPr>
                <w:rFonts w:ascii="Arial" w:hAnsi="Arial" w:cs="Arial"/>
                <w:color w:val="1B2430"/>
                <w:sz w:val="16"/>
                <w:szCs w:val="16"/>
              </w:rPr>
              <w:t xml:space="preserve">“.</w:t>
            </w:r>
          </w:p>
        </w:tc>
      </w:tr>
      <w:tr>
        <w:trPr>
          <w:cantSplit/>
        </w:trPr>
        <w:tc>
          <w:tcPr>
            <w:tcW w:w="2500" w:type="dxa"/>
            <w:tcBorders>
              <w:bottom w:val="single" w:sz="4" w:space="0" w:color="D9DEE5"/>
              <w:top w:val="nil"/>
              <w:left w:val="nil"/>
              <w:right w:val="nil"/>
            </w:tcBorders>
            <w:tcMar>
              <w:top w:w="55" w:type="dxa"/>
              <w:left w:w="80" w:type="dxa"/>
              <w:bottom w:w="55" w:type="dxa"/>
              <w:right w:w="80" w:type="dxa"/>
            </w:tcMar>
            <w:vAlign w:val="top"/>
          </w:tcPr>
          <w:p>
            <w:pPr>
              <w:spacing w:before="0" w:after="0" w:line="200" w:lineRule="auto"/>
            </w:pPr>
            <w:r>
              <w:rPr>
                <w:rFonts w:ascii="Arial" w:hAnsi="Arial" w:cs="Arial"/>
                <w:i/>
                <w:iCs/>
                <w:color w:val="5B6675"/>
                <w:sz w:val="16"/>
                <w:szCs w:val="16"/>
              </w:rPr>
              <w:t xml:space="preserve">tamtéž</w:t>
            </w:r>
          </w:p>
        </w:tc>
        <w:tc>
          <w:tcPr>
            <w:tcW w:w="2150" w:type="dxa"/>
            <w:tcBorders>
              <w:bottom w:val="single" w:sz="4" w:space="0" w:color="D9DEE5"/>
              <w:top w:val="nil"/>
              <w:left w:val="nil"/>
              <w:right w:val="nil"/>
            </w:tcBorders>
            <w:tcMar>
              <w:top w:w="55" w:type="dxa"/>
              <w:left w:w="80" w:type="dxa"/>
              <w:bottom w:w="55" w:type="dxa"/>
              <w:right w:w="80" w:type="dxa"/>
            </w:tcMar>
            <w:vAlign w:val="top"/>
          </w:tcPr>
          <w:p>
            <w:pPr>
              <w:spacing w:before="0" w:after="10" w:line="200" w:lineRule="auto"/>
            </w:pPr>
            <w:r>
              <w:rPr>
                <w:rFonts w:ascii="Arial" w:hAnsi="Arial" w:cs="Arial"/>
                <w:color w:val="1B2430"/>
                <w:sz w:val="16"/>
                <w:szCs w:val="16"/>
              </w:rPr>
              <w:t xml:space="preserve">část III.1.3</w:t>
            </w:r>
          </w:p>
          <w:p>
            <w:pPr>
              <w:spacing w:before="0" w:after="0" w:line="200" w:lineRule="auto"/>
            </w:pPr>
            <w:r>
              <w:rPr>
                <w:rFonts w:ascii="Arial" w:hAnsi="Arial" w:cs="Arial"/>
                <w:i/>
                <w:iCs/>
                <w:color w:val="5B6675"/>
                <w:sz w:val="15"/>
                <w:szCs w:val="15"/>
              </w:rPr>
              <w:t xml:space="preserve">zvlášť účtované položky</w:t>
            </w:r>
          </w:p>
        </w:tc>
        <w:tc>
          <w:tcPr>
            <w:tcW w:w="4988" w:type="dxa"/>
            <w:tcBorders>
              <w:bottom w:val="single" w:sz="4" w:space="0" w:color="D9DEE5"/>
              <w:top w:val="nil"/>
              <w:left w:val="nil"/>
              <w:right w:val="nil"/>
            </w:tcBorders>
            <w:tcMar>
              <w:top w:w="55" w:type="dxa"/>
              <w:left w:w="80" w:type="dxa"/>
              <w:bottom w:w="55" w:type="dxa"/>
              <w:right w:w="80" w:type="dxa"/>
            </w:tcMar>
            <w:vAlign w:val="top"/>
          </w:tcPr>
          <w:p>
            <w:pPr>
              <w:spacing w:before="0" w:after="0" w:line="200" w:lineRule="auto"/>
            </w:pPr>
            <w:r>
              <w:rPr>
                <w:rFonts w:ascii="Arial" w:hAnsi="Arial" w:cs="Arial"/>
                <w:color w:val="1B2430"/>
                <w:sz w:val="16"/>
                <w:szCs w:val="16"/>
              </w:rPr>
              <w:t xml:space="preserve">Zvlášť účtované položky „</w:t>
            </w:r>
            <w:r>
              <w:rPr>
                <w:rFonts w:ascii="Arial" w:hAnsi="Arial" w:cs="Arial"/>
                <w:b/>
                <w:bCs/>
                <w:color w:val="1B2430"/>
                <w:sz w:val="16"/>
                <w:szCs w:val="16"/>
              </w:rPr>
              <w:t xml:space="preserve">nesmí současně</w:t>
            </w:r>
            <w:r>
              <w:rPr>
                <w:rFonts w:ascii="Arial" w:hAnsi="Arial" w:cs="Arial"/>
                <w:color w:val="1B2430"/>
                <w:sz w:val="16"/>
                <w:szCs w:val="16"/>
              </w:rPr>
              <w:t xml:space="preserve"> být součástí minutové kalkulace, tj. nevstupují do minutové kalkulace jako přímý materiál“.</w:t>
            </w:r>
          </w:p>
        </w:tc>
      </w:tr>
    </w:tbl>
    <w:p>
      <w:pPr>
        <w:keepNext/>
        <w:keepLines/>
        <w:pBdr>
          <w:bottom w:val="single" w:sz="6" w:space="3" w:color="D9DEE5"/>
        </w:pBdr>
        <w:spacing w:before="150" w:after="60" w:line="248" w:lineRule="auto"/>
      </w:pPr>
      <w:r>
        <w:rPr>
          <w:rFonts w:ascii="Arial" w:hAnsi="Arial" w:cs="Arial"/>
          <w:b/>
          <w:bCs/>
          <w:color w:val="335CB5"/>
          <w:sz w:val="20"/>
          <w:szCs w:val="20"/>
        </w:rPr>
        <w:t xml:space="preserve">II. </w:t>
      </w:r>
      <w:r>
        <w:rPr>
          <w:rFonts w:ascii="Arial" w:hAnsi="Arial" w:cs="Arial"/>
          <w:b/>
          <w:bCs/>
          <w:color w:val="1F3A75"/>
          <w:sz w:val="20"/>
          <w:szCs w:val="20"/>
        </w:rPr>
        <w:t xml:space="preserve">Zvlášť účtovaná položka je podle cenového předpisu možností, nikoli povinností</w:t>
      </w:r>
    </w:p>
    <w:p>
      <w:pPr>
        <w:keepLines/>
        <w:tabs>
          <w:tab w:val="left" w:pos="500"/>
        </w:tabs>
        <w:spacing w:before="0" w:after="70" w:line="248" w:lineRule="auto"/>
        <w:ind w:left="500" w:hanging="500"/>
        <w:jc w:val="both"/>
      </w:pPr>
      <w:r>
        <w:rPr>
          <w:rFonts w:ascii="Arial" w:hAnsi="Arial" w:cs="Arial"/>
          <w:b/>
          <w:bCs/>
          <w:color w:val="335CB5"/>
          <w:sz w:val="18"/>
          <w:szCs w:val="18"/>
        </w:rPr>
        <w:t xml:space="preserve">1.</w:t>
      </w:r>
      <w:r>
        <w:rPr>
          <w:rFonts w:ascii="Arial" w:hAnsi="Arial" w:cs="Arial"/>
          <w:color w:val="1B2430"/>
          <w:sz w:val="18"/>
          <w:szCs w:val="18"/>
        </w:rPr>
        <w:tab/>
      </w:r>
      <w:r>
        <w:rPr>
          <w:rFonts w:ascii="Arial" w:hAnsi="Arial" w:cs="Arial"/>
          <w:color w:val="1B2430"/>
          <w:sz w:val="18"/>
          <w:szCs w:val="18"/>
        </w:rPr>
        <w:t xml:space="preserve">Z bodu 4 Oddílu D vyplývá, co jako zvlášť účtovanou položku kalkulovat </w:t>
      </w:r>
      <w:r>
        <w:rPr>
          <w:rFonts w:ascii="Arial" w:hAnsi="Arial" w:cs="Arial"/>
          <w:b/>
          <w:bCs/>
          <w:color w:val="1B2430"/>
          <w:sz w:val="18"/>
          <w:szCs w:val="18"/>
        </w:rPr>
        <w:t xml:space="preserve">lze</w:t>
      </w:r>
      <w:r>
        <w:rPr>
          <w:rFonts w:ascii="Arial" w:hAnsi="Arial" w:cs="Arial"/>
          <w:color w:val="1B2430"/>
          <w:sz w:val="18"/>
          <w:szCs w:val="18"/>
        </w:rPr>
        <w:t xml:space="preserve"> („může být … kalkulován pouze“). Jde o ustanovení dovolující, které současně omezuje okruh zvlášť účtovaných položek. Cenový předpis neobsahuje ustanovení, podle něhož by materiál splňující znaky zvlášť účtované položky zvlášť účtován být </w:t>
      </w:r>
      <w:r>
        <w:rPr>
          <w:rFonts w:ascii="Arial" w:hAnsi="Arial" w:cs="Arial"/>
          <w:b/>
          <w:bCs/>
          <w:color w:val="1B2430"/>
          <w:sz w:val="18"/>
          <w:szCs w:val="18"/>
        </w:rPr>
        <w:t xml:space="preserve">musel</w:t>
      </w:r>
      <w:r>
        <w:rPr>
          <w:rFonts w:ascii="Arial" w:hAnsi="Arial" w:cs="Arial"/>
          <w:color w:val="1B2430"/>
          <w:sz w:val="18"/>
          <w:szCs w:val="18"/>
        </w:rPr>
        <w:t xml:space="preserve">.</w:t>
      </w:r>
    </w:p>
    <w:p>
      <w:pPr>
        <w:keepLines/>
        <w:tabs>
          <w:tab w:val="left" w:pos="500"/>
        </w:tabs>
        <w:spacing w:before="0" w:after="70" w:line="248" w:lineRule="auto"/>
        <w:ind w:left="500" w:hanging="500"/>
        <w:jc w:val="both"/>
      </w:pPr>
      <w:r>
        <w:rPr>
          <w:rFonts w:ascii="Arial" w:hAnsi="Arial" w:cs="Arial"/>
          <w:b/>
          <w:bCs/>
          <w:color w:val="335CB5"/>
          <w:sz w:val="18"/>
          <w:szCs w:val="18"/>
        </w:rPr>
        <w:t xml:space="preserve">2.</w:t>
      </w:r>
      <w:r>
        <w:rPr>
          <w:rFonts w:ascii="Arial" w:hAnsi="Arial" w:cs="Arial"/>
          <w:color w:val="1B2430"/>
          <w:sz w:val="18"/>
          <w:szCs w:val="18"/>
        </w:rPr>
        <w:tab/>
      </w:r>
      <w:r>
        <w:rPr>
          <w:rFonts w:ascii="Arial" w:hAnsi="Arial" w:cs="Arial"/>
          <w:color w:val="1B2430"/>
          <w:sz w:val="18"/>
          <w:szCs w:val="18"/>
        </w:rPr>
        <w:t xml:space="preserve">Jedním ze znaků zvlášť účtované položky je, že jde o materiál, „který není zahrnutý do minutové kalkulace“. Volbu, zda bude materiál zahrnut do minutové kalkulace, nebo kalkulován jako zvlášť účtovaná položka, tak cenový předpis ponechává poskytovateli. Materiál, který kontrolovaná osoba do minutové kalkulace zahrnula, tento znak nesplňuje a zvlášť účtovanou položkou být nemůže. Shodnou podmínku („nezahrnuté do minutové kalkulace“) obsahuje i část III.1 metodiky.</w:t>
      </w:r>
    </w:p>
    <w:p>
      <w:pPr>
        <w:keepLines/>
        <w:tabs>
          <w:tab w:val="left" w:pos="500"/>
        </w:tabs>
        <w:spacing w:before="0" w:after="70" w:line="248" w:lineRule="auto"/>
        <w:ind w:left="500" w:hanging="500"/>
        <w:jc w:val="both"/>
      </w:pPr>
      <w:r>
        <w:rPr>
          <w:rFonts w:ascii="Arial" w:hAnsi="Arial" w:cs="Arial"/>
          <w:b/>
          <w:bCs/>
          <w:color w:val="335CB5"/>
          <w:sz w:val="18"/>
          <w:szCs w:val="18"/>
        </w:rPr>
        <w:t xml:space="preserve">3.</w:t>
      </w:r>
      <w:r>
        <w:rPr>
          <w:rFonts w:ascii="Arial" w:hAnsi="Arial" w:cs="Arial"/>
          <w:color w:val="1B2430"/>
          <w:sz w:val="18"/>
          <w:szCs w:val="18"/>
        </w:rPr>
        <w:tab/>
      </w:r>
      <w:r>
        <w:rPr>
          <w:rFonts w:ascii="Arial" w:hAnsi="Arial" w:cs="Arial"/>
          <w:color w:val="1B2430"/>
          <w:sz w:val="18"/>
          <w:szCs w:val="18"/>
        </w:rPr>
        <w:t xml:space="preserve">Závazný postup při tvorbě ceny ve smyslu § 6 odst. 1 písm. c) zákona o cenách stanoví cenový předpis. Metodika je podle své části I doprovodným dokumentem k Oddílu D, který „neobsahuje komplexní návod správného postupu kalkulace“. Povinnost, kterou text cenového předpisu neobsahuje, z ní dovodit nelze.</w:t>
      </w:r>
    </w:p>
    <w:p>
      <w:pPr>
        <w:keepNext/>
        <w:keepLines/>
        <w:pBdr>
          <w:bottom w:val="single" w:sz="6" w:space="3" w:color="D9DEE5"/>
        </w:pBdr>
        <w:spacing w:before="150" w:after="60" w:line="248" w:lineRule="auto"/>
      </w:pPr>
      <w:r>
        <w:rPr>
          <w:rFonts w:ascii="Arial" w:hAnsi="Arial" w:cs="Arial"/>
          <w:b/>
          <w:bCs/>
          <w:color w:val="335CB5"/>
          <w:sz w:val="20"/>
          <w:szCs w:val="20"/>
        </w:rPr>
        <w:t xml:space="preserve">III. </w:t>
      </w:r>
      <w:r>
        <w:rPr>
          <w:rFonts w:ascii="Arial" w:hAnsi="Arial" w:cs="Arial"/>
          <w:b/>
          <w:bCs/>
          <w:color w:val="1F3A75"/>
          <w:sz w:val="20"/>
          <w:szCs w:val="20"/>
        </w:rPr>
        <w:t xml:space="preserve">Zákaz duplicity a jeho dodržení</w:t>
      </w:r>
    </w:p>
    <w:p>
      <w:pPr>
        <w:keepLines/>
        <w:tabs>
          <w:tab w:val="left" w:pos="500"/>
        </w:tabs>
        <w:spacing w:before="0" w:after="70" w:line="248" w:lineRule="auto"/>
        <w:ind w:left="500" w:hanging="500"/>
        <w:jc w:val="both"/>
      </w:pPr>
      <w:r>
        <w:rPr>
          <w:rFonts w:ascii="Arial" w:hAnsi="Arial" w:cs="Arial"/>
          <w:b/>
          <w:bCs/>
          <w:color w:val="335CB5"/>
          <w:sz w:val="18"/>
          <w:szCs w:val="18"/>
        </w:rPr>
        <w:t xml:space="preserve">4.</w:t>
      </w:r>
      <w:r>
        <w:rPr>
          <w:rFonts w:ascii="Arial" w:hAnsi="Arial" w:cs="Arial"/>
          <w:color w:val="1B2430"/>
          <w:sz w:val="18"/>
          <w:szCs w:val="18"/>
        </w:rPr>
        <w:tab/>
      </w:r>
      <w:r>
        <w:rPr>
          <w:rFonts w:ascii="Arial" w:hAnsi="Arial" w:cs="Arial"/>
          <w:color w:val="1B2430"/>
          <w:sz w:val="18"/>
          <w:szCs w:val="18"/>
        </w:rPr>
        <w:t xml:space="preserve">Jediný zákaz, který z cenového předpisu a metodiky v této souvislosti vyplývá, je </w:t>
      </w:r>
      <w:r>
        <w:rPr>
          <w:rFonts w:ascii="Arial" w:hAnsi="Arial" w:cs="Arial"/>
          <w:b/>
          <w:bCs/>
          <w:color w:val="1B2430"/>
          <w:sz w:val="18"/>
          <w:szCs w:val="18"/>
        </w:rPr>
        <w:t xml:space="preserve">zákaz duplicity</w:t>
      </w:r>
      <w:r>
        <w:rPr>
          <w:rFonts w:ascii="Arial" w:hAnsi="Arial" w:cs="Arial"/>
          <w:color w:val="1B2430"/>
          <w:sz w:val="18"/>
          <w:szCs w:val="18"/>
        </w:rPr>
        <w:t xml:space="preserve">: tatáž položka nesmí být současně součástí minutové kalkulace a současně kalkulována pacientovi jako zvlášť účtovaná položka (bod 4 Oddílu D, část III.1.3 metodiky). Kontrolovaná osoba tento zákaz dodržuje. Materiál zahrnutý do přímého materiálu minutové kalkulace není pacientům účtován žádnou další částkou </w:t>
      </w:r>
      <w:r>
        <w:rPr>
          <w:rFonts w:ascii="Arial" w:hAnsi="Arial" w:cs="Arial"/>
          <w:color w:val="1F3A75"/>
          <w:sz w:val="18"/>
          <w:szCs w:val="18"/>
          <w:shd w:val="clear" w:color="auto" w:fill="E4F3CF"/>
        </w:rPr>
        <w:t xml:space="preserve">[a položky, které kontrolovaná osoba kalkuluje jako zvlášť účtované, nejsou součástí minutové kalkulace]</w:t>
      </w:r>
      <w:r>
        <w:rPr>
          <w:rFonts w:ascii="Arial" w:hAnsi="Arial" w:cs="Arial"/>
          <w:color w:val="1B2430"/>
          <w:sz w:val="18"/>
          <w:szCs w:val="18"/>
        </w:rPr>
        <w:t xml:space="preserve">. Posuzovaného postupu se tedy tento zákaz netýká.</w:t>
      </w:r>
    </w:p>
    <w:p>
      <w:pPr>
        <w:keepNext/>
        <w:keepLines/>
        <w:pBdr>
          <w:bottom w:val="single" w:sz="6" w:space="3" w:color="D9DEE5"/>
        </w:pBdr>
        <w:spacing w:before="150" w:after="60" w:line="248" w:lineRule="auto"/>
      </w:pPr>
      <w:r>
        <w:rPr>
          <w:rFonts w:ascii="Arial" w:hAnsi="Arial" w:cs="Arial"/>
          <w:b/>
          <w:bCs/>
          <w:color w:val="335CB5"/>
          <w:sz w:val="20"/>
          <w:szCs w:val="20"/>
        </w:rPr>
        <w:t xml:space="preserve">IV. </w:t>
      </w:r>
      <w:r>
        <w:rPr>
          <w:rFonts w:ascii="Arial" w:hAnsi="Arial" w:cs="Arial"/>
          <w:b/>
          <w:bCs/>
          <w:color w:val="1F3A75"/>
          <w:sz w:val="20"/>
          <w:szCs w:val="20"/>
        </w:rPr>
        <w:t xml:space="preserve">Náklad na spotřební materiál je ekonomicky oprávněný a náleží do přímého materiálu</w:t>
      </w:r>
    </w:p>
    <w:p>
      <w:pPr>
        <w:keepLines/>
        <w:tabs>
          <w:tab w:val="left" w:pos="500"/>
        </w:tabs>
        <w:spacing w:before="0" w:after="70" w:line="248" w:lineRule="auto"/>
        <w:ind w:left="500" w:hanging="500"/>
        <w:jc w:val="both"/>
      </w:pPr>
      <w:r>
        <w:rPr>
          <w:rFonts w:ascii="Arial" w:hAnsi="Arial" w:cs="Arial"/>
          <w:b/>
          <w:bCs/>
          <w:color w:val="335CB5"/>
          <w:sz w:val="18"/>
          <w:szCs w:val="18"/>
        </w:rPr>
        <w:t xml:space="preserve">5.</w:t>
      </w:r>
      <w:r>
        <w:rPr>
          <w:rFonts w:ascii="Arial" w:hAnsi="Arial" w:cs="Arial"/>
          <w:color w:val="1B2430"/>
          <w:sz w:val="18"/>
          <w:szCs w:val="18"/>
        </w:rPr>
        <w:tab/>
      </w:r>
      <w:r>
        <w:rPr>
          <w:rFonts w:ascii="Arial" w:hAnsi="Arial" w:cs="Arial"/>
          <w:color w:val="1B2430"/>
          <w:sz w:val="18"/>
          <w:szCs w:val="18"/>
        </w:rPr>
        <w:t xml:space="preserve">Z § 1 odst. 2 písm. h) zákona o cenách vyplývá, že náklady pořízení odpovídajícího množství přímého materiálu jsou ekonomicky oprávněnými náklady. Bod 4 Oddílu D vymezuje přímý materiál minutové kalkulace jako „</w:t>
      </w:r>
      <w:r>
        <w:rPr>
          <w:rFonts w:ascii="Arial" w:hAnsi="Arial" w:cs="Arial"/>
          <w:b/>
          <w:bCs/>
          <w:color w:val="1B2430"/>
          <w:sz w:val="18"/>
          <w:szCs w:val="18"/>
        </w:rPr>
        <w:t xml:space="preserve">veškerý</w:t>
      </w:r>
      <w:r>
        <w:rPr>
          <w:rFonts w:ascii="Arial" w:hAnsi="Arial" w:cs="Arial"/>
          <w:color w:val="1B2430"/>
          <w:sz w:val="18"/>
          <w:szCs w:val="18"/>
        </w:rPr>
        <w:t xml:space="preserve"> materiál přímo použitý při poskytování zdravotních služeb“. Výplňový kompozitní materiál, adheziva, cementy a otiskovací hmoty jsou materiálem přímo použitým při poskytování zdravotních služeb; jejich pořízení je doloženo účetnictvím kontrolované osoby a bylo vynaloženo výhradně na poskytování zdravotních služeb. Výčet nákladů, které do ceny zahrnout nelze (body 2 a 3 Oddílu D), spotřební zdravotnický materiál neobsahuje. Závěr o ekonomické neoprávněnosti tohoto nákladu proto nemá oporu v zákonném vymezení ani v textu cenového předpisu.</w:t>
      </w:r>
    </w:p>
    <w:p>
      <w:pPr>
        <w:keepLines/>
        <w:tabs>
          <w:tab w:val="left" w:pos="500"/>
        </w:tabs>
        <w:spacing w:before="0" w:after="70" w:line="248" w:lineRule="auto"/>
        <w:ind w:left="500" w:hanging="500"/>
        <w:jc w:val="both"/>
      </w:pPr>
      <w:r>
        <w:rPr>
          <w:rFonts w:ascii="Arial" w:hAnsi="Arial" w:cs="Arial"/>
          <w:b/>
          <w:bCs/>
          <w:color w:val="335CB5"/>
          <w:sz w:val="18"/>
          <w:szCs w:val="18"/>
        </w:rPr>
        <w:t xml:space="preserve">6.</w:t>
      </w:r>
      <w:r>
        <w:rPr>
          <w:rFonts w:ascii="Arial" w:hAnsi="Arial" w:cs="Arial"/>
          <w:color w:val="1B2430"/>
          <w:sz w:val="18"/>
          <w:szCs w:val="18"/>
        </w:rPr>
        <w:tab/>
      </w:r>
      <w:r>
        <w:rPr>
          <w:rFonts w:ascii="Arial" w:hAnsi="Arial" w:cs="Arial"/>
          <w:color w:val="1B2430"/>
          <w:sz w:val="18"/>
          <w:szCs w:val="18"/>
        </w:rPr>
        <w:t xml:space="preserve">Skutečnost, že se materiál používá jen u některých zdravotních služeb, není kritériem pro vyloučení z minutové kalkulace. Metodika v části III.1.1 písm. a) řadí mezi přímý materiál výslovně „náklady na jednoúčelové přístroje použité při některé zdravotní službě“, tedy náklady vázané pouze na konkrétní zdravotní službu nebo skupinu služeb.</w:t>
      </w:r>
    </w:p>
    <w:p>
      <w:pPr>
        <w:keepLines/>
        <w:tabs>
          <w:tab w:val="left" w:pos="500"/>
        </w:tabs>
        <w:spacing w:before="0" w:after="70" w:line="248" w:lineRule="auto"/>
        <w:ind w:left="500" w:hanging="500"/>
        <w:jc w:val="both"/>
      </w:pPr>
      <w:r>
        <w:rPr>
          <w:rFonts w:ascii="Arial" w:hAnsi="Arial" w:cs="Arial"/>
          <w:b/>
          <w:bCs/>
          <w:color w:val="335CB5"/>
          <w:sz w:val="18"/>
          <w:szCs w:val="18"/>
        </w:rPr>
        <w:t xml:space="preserve">7.</w:t>
      </w:r>
      <w:r>
        <w:rPr>
          <w:rFonts w:ascii="Arial" w:hAnsi="Arial" w:cs="Arial"/>
          <w:color w:val="1B2430"/>
          <w:sz w:val="18"/>
          <w:szCs w:val="18"/>
        </w:rPr>
        <w:tab/>
      </w:r>
      <w:r>
        <w:rPr>
          <w:rFonts w:ascii="Arial" w:hAnsi="Arial" w:cs="Arial"/>
          <w:color w:val="1B2430"/>
          <w:sz w:val="18"/>
          <w:szCs w:val="18"/>
        </w:rPr>
        <w:t xml:space="preserve">Shodný závěr plyne z vývoje znění předpisu. Cenový předpis 1/2021/CAU vymezoval přímý materiál jako „základní společný materiál, který lze použít u všech poskytovaných zdravotních služeb“. Cenový předpis 1/2022/CAU ze dne 27. 10. 2021 toto omezení nahradil slovy „veškerý materiál přímo použitý při poskytování zdravotních služeb“; toto znění je beze změny převzato do předpisů 1/2023/CAU až 1/2026/CAU. Současně byla definice zvlášť účtované položky doplněna o podmínku individuální potřeby spotřebování pro konkrétního pacienta. Cenový orgán tedy omezení přímého materiálu na materiál společný všem službám vědomě opustil. Výklad, který toto omezení znovu zavádí, odporuje platnému znění předpisu.</w:t>
      </w:r>
    </w:p>
    <w:p>
      <w:pPr>
        <w:keepNext/>
        <w:keepLines/>
        <w:pBdr>
          <w:bottom w:val="single" w:sz="6" w:space="3" w:color="D9DEE5"/>
        </w:pBdr>
        <w:spacing w:before="150" w:after="60" w:line="248" w:lineRule="auto"/>
      </w:pPr>
      <w:r>
        <w:rPr>
          <w:rFonts w:ascii="Arial" w:hAnsi="Arial" w:cs="Arial"/>
          <w:b/>
          <w:bCs/>
          <w:color w:val="335CB5"/>
          <w:sz w:val="20"/>
          <w:szCs w:val="20"/>
        </w:rPr>
        <w:t xml:space="preserve">V. </w:t>
      </w:r>
      <w:r>
        <w:rPr>
          <w:rFonts w:ascii="Arial" w:hAnsi="Arial" w:cs="Arial"/>
          <w:b/>
          <w:bCs/>
          <w:color w:val="1F3A75"/>
          <w:sz w:val="20"/>
          <w:szCs w:val="20"/>
        </w:rPr>
        <w:t xml:space="preserve">Průměrování jako princip minutové kalkulace</w:t>
      </w:r>
    </w:p>
    <w:p>
      <w:pPr>
        <w:keepLines/>
        <w:tabs>
          <w:tab w:val="left" w:pos="500"/>
        </w:tabs>
        <w:spacing w:before="0" w:after="70" w:line="248" w:lineRule="auto"/>
        <w:ind w:left="500" w:hanging="500"/>
        <w:jc w:val="both"/>
      </w:pPr>
      <w:r>
        <w:rPr>
          <w:rFonts w:ascii="Arial" w:hAnsi="Arial" w:cs="Arial"/>
          <w:b/>
          <w:bCs/>
          <w:color w:val="335CB5"/>
          <w:sz w:val="18"/>
          <w:szCs w:val="18"/>
        </w:rPr>
        <w:t xml:space="preserve">8.</w:t>
      </w:r>
      <w:r>
        <w:rPr>
          <w:rFonts w:ascii="Arial" w:hAnsi="Arial" w:cs="Arial"/>
          <w:color w:val="1B2430"/>
          <w:sz w:val="18"/>
          <w:szCs w:val="18"/>
        </w:rPr>
        <w:tab/>
      </w:r>
      <w:r>
        <w:rPr>
          <w:rFonts w:ascii="Arial" w:hAnsi="Arial" w:cs="Arial"/>
          <w:color w:val="1B2430"/>
          <w:sz w:val="18"/>
          <w:szCs w:val="18"/>
        </w:rPr>
        <w:t xml:space="preserve">Minutová kalkulace je svou podstatou průměrem: ekonomicky oprávněné náklady kalendářního roku, doložené účetnictvím, jsou rozpočteny na časový fond ordinační doby. Bod 4 Oddílu D průměrování výslovně užívá i u ceny zdravotní služby, jejíž čas trvání „odpovídá průměrnému času“. Cenový předpis nepožaduje, aby každý pacient hradil výhradně materiál spotřebovaný při jeho ošetření; požaduje, aby cena obsahovala pouze ekonomicky oprávněné náklady a přiměřený zisk a aby byla sestavena předepsaným postupem.</w:t>
      </w:r>
    </w:p>
    <w:p>
      <w:pPr>
        <w:keepLines/>
        <w:tabs>
          <w:tab w:val="left" w:pos="500"/>
        </w:tabs>
        <w:spacing w:before="0" w:after="70" w:line="248" w:lineRule="auto"/>
        <w:ind w:left="500" w:hanging="500"/>
        <w:jc w:val="both"/>
      </w:pPr>
      <w:r>
        <w:rPr>
          <w:rFonts w:ascii="Arial" w:hAnsi="Arial" w:cs="Arial"/>
          <w:b/>
          <w:bCs/>
          <w:color w:val="335CB5"/>
          <w:sz w:val="18"/>
          <w:szCs w:val="18"/>
        </w:rPr>
        <w:t xml:space="preserve">9.</w:t>
      </w:r>
      <w:r>
        <w:rPr>
          <w:rFonts w:ascii="Arial" w:hAnsi="Arial" w:cs="Arial"/>
          <w:color w:val="1B2430"/>
          <w:sz w:val="18"/>
          <w:szCs w:val="18"/>
        </w:rPr>
        <w:tab/>
      </w:r>
      <w:r>
        <w:rPr>
          <w:rFonts w:ascii="Arial" w:hAnsi="Arial" w:cs="Arial"/>
          <w:color w:val="1B2430"/>
          <w:sz w:val="18"/>
          <w:szCs w:val="18"/>
        </w:rPr>
        <w:t xml:space="preserve">Posuzované materiály se odebírají postupně z vícedávkového balení (stříkačka, kartuše, lahvička) a množství spotřebované u jednotlivého pacienta nelze bez nepřiměřených nákladů zjistit jinak než odhadem. Zahrnutí nákladu na jejich roční spotřebu do přímého materiálu minutové kalkulace je proto postupem, který cenový předpis předpokládá a který odpovídá jeho účelu.</w:t>
      </w:r>
    </w:p>
    <w:p>
      <w:pPr>
        <w:keepNext/>
        <w:keepLines/>
        <w:pBdr>
          <w:bottom w:val="single" w:sz="6" w:space="3" w:color="D9DEE5"/>
        </w:pBdr>
        <w:spacing w:before="150" w:after="60" w:line="248" w:lineRule="auto"/>
      </w:pPr>
      <w:r>
        <w:rPr>
          <w:rFonts w:ascii="Arial" w:hAnsi="Arial" w:cs="Arial"/>
          <w:b/>
          <w:bCs/>
          <w:color w:val="335CB5"/>
          <w:sz w:val="20"/>
          <w:szCs w:val="20"/>
        </w:rPr>
        <w:t xml:space="preserve">VI. </w:t>
      </w:r>
      <w:r>
        <w:rPr>
          <w:rFonts w:ascii="Arial" w:hAnsi="Arial" w:cs="Arial"/>
          <w:b/>
          <w:bCs/>
          <w:color w:val="1F3A75"/>
          <w:sz w:val="20"/>
          <w:szCs w:val="20"/>
        </w:rPr>
        <w:t xml:space="preserve">Závěr</w:t>
      </w:r>
    </w:p>
    <w:p>
      <w:pPr>
        <w:keepLines/>
        <w:tabs>
          <w:tab w:val="left" w:pos="500"/>
        </w:tabs>
        <w:spacing w:before="0" w:after="70" w:line="248" w:lineRule="auto"/>
        <w:ind w:left="500" w:hanging="500"/>
        <w:jc w:val="both"/>
      </w:pPr>
      <w:r>
        <w:rPr>
          <w:rFonts w:ascii="Arial" w:hAnsi="Arial" w:cs="Arial"/>
          <w:b/>
          <w:bCs/>
          <w:color w:val="335CB5"/>
          <w:sz w:val="18"/>
          <w:szCs w:val="18"/>
        </w:rPr>
        <w:t xml:space="preserve">10.</w:t>
      </w:r>
      <w:r>
        <w:rPr>
          <w:rFonts w:ascii="Arial" w:hAnsi="Arial" w:cs="Arial"/>
          <w:color w:val="1B2430"/>
          <w:sz w:val="18"/>
          <w:szCs w:val="18"/>
        </w:rPr>
        <w:tab/>
      </w:r>
      <w:r>
        <w:rPr>
          <w:rFonts w:ascii="Arial" w:hAnsi="Arial" w:cs="Arial"/>
          <w:b/>
          <w:bCs/>
          <w:color w:val="1B2430"/>
          <w:sz w:val="18"/>
          <w:szCs w:val="18"/>
        </w:rPr>
        <w:t xml:space="preserve">Kontrolovaná osoba proto uzavírá</w:t>
      </w:r>
      <w:r>
        <w:rPr>
          <w:rFonts w:ascii="Arial" w:hAnsi="Arial" w:cs="Arial"/>
          <w:color w:val="1B2430"/>
          <w:sz w:val="18"/>
          <w:szCs w:val="18"/>
        </w:rPr>
        <w:t xml:space="preserve">, že při sestavení minutové kalkulace postupovala v souladu se závazným postupem podle § 6 odst. 1 písm. c) zákona o cenách a Části II Oddílu D cenového předpisu </w:t>
      </w:r>
      <w:r>
        <w:rPr>
          <w:rFonts w:ascii="Arial" w:hAnsi="Arial" w:cs="Arial"/>
          <w:color w:val="1F3A75"/>
          <w:sz w:val="18"/>
          <w:szCs w:val="18"/>
          <w:shd w:val="clear" w:color="auto" w:fill="E4F3CF"/>
        </w:rPr>
        <w:t xml:space="preserve">[označení předpisu]</w:t>
      </w:r>
      <w:r>
        <w:rPr>
          <w:rFonts w:ascii="Arial" w:hAnsi="Arial" w:cs="Arial"/>
          <w:color w:val="1B2430"/>
          <w:sz w:val="18"/>
          <w:szCs w:val="18"/>
        </w:rPr>
        <w:t xml:space="preserve">: do přímého materiálu zahrnula veškerý materiál přímo použitý při poskytování zdravotních služeb, žádnou položku nekalkuluje současně v minutové kalkulaci a jako zvlášť účtovanou, náklady jsou doloženy účetnictvím a cena nepřekračuje součet ekonomicky oprávněných nákladů a přiměřeného zisku. Zvlášť účtovaná položka je podle cenového předpisu možností, nikoli povinností poskytovatele.</w:t>
      </w:r>
    </w:p>
    <w:p>
      <w:pPr>
        <w:keepNext/>
        <w:keepLines/>
        <w:tabs>
          <w:tab w:val="left" w:pos="500"/>
        </w:tabs>
        <w:spacing w:before="0" w:after="70" w:line="248" w:lineRule="auto"/>
        <w:ind w:left="500" w:hanging="500"/>
        <w:jc w:val="both"/>
      </w:pPr>
      <w:r>
        <w:rPr>
          <w:rFonts w:ascii="Arial" w:hAnsi="Arial" w:cs="Arial"/>
          <w:b/>
          <w:bCs/>
          <w:color w:val="335CB5"/>
          <w:sz w:val="18"/>
          <w:szCs w:val="18"/>
        </w:rPr>
        <w:t xml:space="preserve">11.</w:t>
      </w:r>
      <w:r>
        <w:rPr>
          <w:rFonts w:ascii="Arial" w:hAnsi="Arial" w:cs="Arial"/>
          <w:color w:val="1B2430"/>
          <w:sz w:val="18"/>
          <w:szCs w:val="18"/>
        </w:rPr>
        <w:tab/>
      </w:r>
      <w:r>
        <w:rPr>
          <w:rFonts w:ascii="Arial" w:hAnsi="Arial" w:cs="Arial"/>
          <w:color w:val="1B2430"/>
          <w:sz w:val="18"/>
          <w:szCs w:val="18"/>
        </w:rPr>
        <w:t xml:space="preserve">Kontrolovaná osoba navrhuje, aby kontrolní orgán závěr o ekonomické neoprávněnosti nákladu na spotřební materiál zahrnutý do minutové kalkulace </w:t>
      </w:r>
      <w:r>
        <w:rPr>
          <w:rFonts w:ascii="Arial" w:hAnsi="Arial" w:cs="Arial"/>
          <w:color w:val="1F3A75"/>
          <w:sz w:val="18"/>
          <w:szCs w:val="18"/>
          <w:shd w:val="clear" w:color="auto" w:fill="E4F3CF"/>
        </w:rPr>
        <w:t xml:space="preserve">[z protokolu o kontrole vypustil / při dalším postupu nezohlednil]</w:t>
      </w:r>
      <w:r>
        <w:rPr>
          <w:rFonts w:ascii="Arial" w:hAnsi="Arial" w:cs="Arial"/>
          <w:color w:val="1B2430"/>
          <w:sz w:val="18"/>
          <w:szCs w:val="18"/>
        </w:rPr>
        <w:t xml:space="preserve">. Evidenci nákupu přímého materiálu za kontrolované období vede kontrolovaná osoba odděleně a na vyžádání ji předloží.</w:t>
      </w:r>
    </w:p>
    <w:tbl>
      <w:tblPr>
        <w:tblW w:w="9638" w:type="dxa"/>
        <w:tblInd w:w="0" w:type="dxa"/>
        <w:tblLayout w:type="fixed"/>
        <w:tblCellMar>
          <w:top w:w="0" w:type="dxa"/>
          <w:left w:w="0" w:type="dxa"/>
          <w:bottom w:w="0" w:type="dxa"/>
          <w:right w:w="0" w:type="dxa"/>
        </w:tblCellMar>
        <w:tblLook w:val="0000"/>
      </w:tblPr>
      <w:tblGrid>
        <w:gridCol w:w="5338"/>
        <w:gridCol w:w="4300"/>
      </w:tblGrid>
      <w:tr>
        <w:trPr>
          <w:cantSplit/>
        </w:trPr>
        <w:tc>
          <w:tcPr>
            <w:tcW w:w="5338" w:type="dxa"/>
            <w:tcBorders>
              <w:top w:val="nil"/>
              <w:left w:val="nil"/>
              <w:bottom w:val="nil"/>
              <w:right w:val="nil"/>
            </w:tcBorders>
            <w:vAlign w:val="top"/>
          </w:tcPr>
          <w:p>
            <w:pPr>
              <w:spacing w:before="0" w:after="0" w:line="20" w:lineRule="exact"/>
            </w:pPr>
          </w:p>
        </w:tc>
        <w:tc>
          <w:tcPr>
            <w:tcW w:w="4300" w:type="dxa"/>
            <w:tcBorders>
              <w:top w:val="nil"/>
              <w:left w:val="nil"/>
              <w:bottom w:val="nil"/>
              <w:right w:val="nil"/>
            </w:tcBorders>
            <w:tcMar>
              <w:left w:w="0" w:type="dxa"/>
              <w:right w:w="0" w:type="dxa"/>
            </w:tcMar>
            <w:vAlign w:val="top"/>
          </w:tcPr>
          <w:p>
            <w:pPr>
              <w:pBdr>
                <w:bottom w:val="single" w:sz="6" w:space="4" w:color="1F3A75"/>
              </w:pBdr>
              <w:spacing w:before="400" w:after="0" w:line="248" w:lineRule="auto"/>
            </w:pPr>
            <w:r>
              <w:rPr>
                <w:rFonts w:ascii="Arial" w:hAnsi="Arial" w:cs="Arial"/>
                <w:color w:val="1F3A75"/>
                <w:sz w:val="18"/>
                <w:szCs w:val="18"/>
                <w:shd w:val="clear" w:color="auto" w:fill="E4F3CF"/>
              </w:rPr>
              <w:t xml:space="preserve">[podpis]</w:t>
            </w:r>
          </w:p>
          <w:p>
            <w:pPr>
              <w:spacing w:before="0" w:after="0" w:line="60" w:lineRule="exact"/>
            </w:pPr>
          </w:p>
          <w:p>
            <w:pPr>
              <w:spacing w:before="0" w:after="10" w:line="248" w:lineRule="auto"/>
            </w:pPr>
            <w:r>
              <w:rPr>
                <w:rFonts w:ascii="Arial" w:hAnsi="Arial" w:cs="Arial"/>
                <w:b/>
                <w:bCs/>
                <w:color w:val="1F3A75"/>
                <w:sz w:val="18"/>
                <w:szCs w:val="18"/>
                <w:shd w:val="clear" w:color="auto" w:fill="E4F3CF"/>
              </w:rPr>
              <w:t xml:space="preserve">[název poskytovatele zdravotních služeb]</w:t>
            </w:r>
          </w:p>
          <w:p>
            <w:pPr>
              <w:spacing w:before="0" w:after="0" w:line="248" w:lineRule="auto"/>
            </w:pPr>
            <w:r>
              <w:rPr>
                <w:rFonts w:ascii="Arial" w:hAnsi="Arial" w:cs="Arial"/>
                <w:color w:val="1F3A75"/>
                <w:sz w:val="18"/>
                <w:szCs w:val="18"/>
                <w:shd w:val="clear" w:color="auto" w:fill="E4F3CF"/>
              </w:rPr>
              <w:t xml:space="preserve">[jméno a funkce osoby jednající za kontrolovanou osobu]</w:t>
            </w:r>
          </w:p>
        </w:tc>
      </w:tr>
    </w:tbl>
    <w:p>
      <w:pPr>
        <w:spacing w:before="0" w:after="0" w:line="20" w:lineRule="exact"/>
      </w:pPr>
    </w:p>
    <w:sectPr w:rsidR="00FC693F" w:rsidRPr="0006063C" w:rsidSect="00034616">
      <w:headerReference w:type="default" r:id="rId9"/>
      <w:footerReference w:type="default" r:id="rId10"/>
      <w:pgSz w:w="11906" w:h="16838"/>
      <w:pgMar w:top="1304" w:right="1134" w:bottom="1474" w:left="1134" w:header="51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8" w:space="6" w:color="335CB5"/>
      </w:pBdr>
      <w:spacing w:before="0" w:after="40" w:line="240" w:lineRule="auto"/>
      <w:jc w:val="center"/>
    </w:pPr>
    <w:r>
      <w:rPr>
        <w:rFonts w:ascii="Arial" w:hAnsi="Arial" w:cs="Arial"/>
        <w:b/>
        <w:bCs/>
        <w:color w:val="1F3A75"/>
        <w:sz w:val="17"/>
        <w:szCs w:val="17"/>
      </w:rPr>
      <w:t xml:space="preserve">Nejedná se o právní podklad, ale o stanovisko firmy Vyřešíme s.r.o. Nejsme advokátní kancelář.</w:t>
    </w:r>
  </w:p>
  <w:p>
    <w:pPr>
      <w:tabs>
        <w:tab w:val="clear" w:pos="4536"/>
        <w:tab w:val="clear" w:pos="9072"/>
        <w:tab w:val="right" w:pos="9638"/>
      </w:tabs>
      <w:spacing w:before="0" w:after="0" w:line="240" w:lineRule="auto"/>
      <w:jc w:val="left"/>
    </w:pPr>
    <w:r>
      <w:rPr>
        <w:rFonts w:ascii="Arial" w:hAnsi="Arial" w:cs="Arial"/>
        <w:b/>
        <w:bCs/>
        <w:color w:val="1F3A75"/>
        <w:sz w:val="15"/>
        <w:szCs w:val="15"/>
      </w:rPr>
      <w:t xml:space="preserve">Vyřešíme s.r.o.</w:t>
    </w:r>
    <w:r>
      <w:rPr>
        <w:rFonts w:ascii="Arial" w:hAnsi="Arial" w:cs="Arial"/>
        <w:color w:val="5B6675"/>
        <w:sz w:val="15"/>
        <w:szCs w:val="15"/>
      </w:rPr>
      <w:t xml:space="preserve">  ·  IČO 09549960  ·  Ohnišťany 97, 503 54 Ohnišťany  ·  vyresime.eu</w:t>
    </w:r>
    <w:r>
      <w:rPr>
        <w:rFonts w:ascii="Arial" w:hAnsi="Arial" w:cs="Arial"/>
        <w:color w:val="5B6675"/>
        <w:sz w:val="15"/>
        <w:szCs w:val="15"/>
      </w:rPr>
      <w:tab/>
    </w:r>
    <w:r>
      <w:rPr>
        <w:rFonts w:ascii="Arial" w:hAnsi="Arial" w:cs="Arial"/>
        <w:color w:val="5B6675"/>
        <w:sz w:val="15"/>
        <w:szCs w:val="15"/>
      </w:rPr>
      <w:t xml:space="preserve">Strana </w:t>
    </w:r>
    <w:r>
      <w:rPr>
        <w:rFonts w:ascii="Arial" w:hAnsi="Arial" w:cs="Arial"/>
        <w:color w:val="5B6675"/>
        <w:sz w:val="15"/>
        <w:szCs w:val="15"/>
      </w:rPr>
      <w:fldChar w:fldCharType="begin"/>
    </w:r>
    <w:r>
      <w:rPr>
        <w:rFonts w:ascii="Arial" w:hAnsi="Arial" w:cs="Arial"/>
        <w:color w:val="5B6675"/>
        <w:sz w:val="15"/>
        <w:szCs w:val="15"/>
      </w:rPr>
      <w:instrText xml:space="preserve"> PAGE </w:instrText>
    </w:r>
    <w:r>
      <w:rPr>
        <w:rFonts w:ascii="Arial" w:hAnsi="Arial" w:cs="Arial"/>
        <w:color w:val="5B6675"/>
        <w:sz w:val="15"/>
        <w:szCs w:val="15"/>
      </w:rPr>
      <w:fldChar w:fldCharType="separate"/>
    </w:r>
    <w:r>
      <w:rPr>
        <w:rFonts w:ascii="Arial" w:hAnsi="Arial" w:cs="Arial"/>
        <w:color w:val="5B6675"/>
        <w:sz w:val="15"/>
        <w:szCs w:val="15"/>
      </w:rPr>
      <w:t>1</w:t>
    </w:r>
    <w:r>
      <w:rPr>
        <w:rFonts w:ascii="Arial" w:hAnsi="Arial" w:cs="Arial"/>
        <w:color w:val="5B6675"/>
        <w:sz w:val="15"/>
        <w:szCs w:val="15"/>
      </w:rPr>
      <w:fldChar w:fldCharType="end"/>
    </w:r>
    <w:r>
      <w:rPr>
        <w:rFonts w:ascii="Arial" w:hAnsi="Arial" w:cs="Arial"/>
        <w:color w:val="5B6675"/>
        <w:sz w:val="15"/>
        <w:szCs w:val="15"/>
      </w:rPr>
      <w:t xml:space="preserve"> / </w:t>
    </w:r>
    <w:r>
      <w:rPr>
        <w:rFonts w:ascii="Arial" w:hAnsi="Arial" w:cs="Arial"/>
        <w:color w:val="5B6675"/>
        <w:sz w:val="15"/>
        <w:szCs w:val="15"/>
      </w:rPr>
      <w:fldChar w:fldCharType="begin"/>
    </w:r>
    <w:r>
      <w:rPr>
        <w:rFonts w:ascii="Arial" w:hAnsi="Arial" w:cs="Arial"/>
        <w:color w:val="5B6675"/>
        <w:sz w:val="15"/>
        <w:szCs w:val="15"/>
      </w:rPr>
      <w:instrText xml:space="preserve"> NUMPAGES </w:instrText>
    </w:r>
    <w:r>
      <w:rPr>
        <w:rFonts w:ascii="Arial" w:hAnsi="Arial" w:cs="Arial"/>
        <w:color w:val="5B6675"/>
        <w:sz w:val="15"/>
        <w:szCs w:val="15"/>
      </w:rPr>
      <w:fldChar w:fldCharType="separate"/>
    </w:r>
    <w:r>
      <w:rPr>
        <w:rFonts w:ascii="Arial" w:hAnsi="Arial" w:cs="Arial"/>
        <w:color w:val="5B6675"/>
        <w:sz w:val="15"/>
        <w:szCs w:val="15"/>
      </w:rPr>
      <w:t>1</w:t>
    </w:r>
    <w:r>
      <w:rPr>
        <w:rFonts w:ascii="Arial" w:hAnsi="Arial" w:cs="Arial"/>
        <w:color w:val="5B6675"/>
        <w:sz w:val="15"/>
        <w:szCs w:val="15"/>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bottom w:val="single" w:sz="8" w:space="6" w:color="335CB5"/>
      </w:pBdr>
      <w:tabs>
        <w:tab w:val="clear" w:pos="4536"/>
        <w:tab w:val="clear" w:pos="9072"/>
        <w:tab w:val="right" w:pos="9638"/>
      </w:tabs>
      <w:spacing w:before="0" w:after="0" w:line="240" w:lineRule="auto"/>
      <w:jc w:val="left"/>
    </w:pPr>
    <w:r>
      <w:drawing>
        <wp:inline xmlns:a="http://schemas.openxmlformats.org/drawingml/2006/main" xmlns:pic="http://schemas.openxmlformats.org/drawingml/2006/picture">
          <wp:extent cx="412834" cy="288000"/>
          <wp:docPr id="1" name="Picture 1"/>
          <wp:cNvGraphicFramePr>
            <a:graphicFrameLocks noChangeAspect="1"/>
          </wp:cNvGraphicFramePr>
          <a:graphic>
            <a:graphicData uri="http://schemas.openxmlformats.org/drawingml/2006/picture">
              <pic:pic>
                <pic:nvPicPr>
                  <pic:cNvPr id="0" name="vyresime-znacka.png"/>
                  <pic:cNvPicPr/>
                </pic:nvPicPr>
                <pic:blipFill>
                  <a:blip r:embed="rId1"/>
                  <a:stretch>
                    <a:fillRect/>
                  </a:stretch>
                </pic:blipFill>
                <pic:spPr>
                  <a:xfrm>
                    <a:off x="0" y="0"/>
                    <a:ext cx="412834" cy="288000"/>
                  </a:xfrm>
                  <a:prstGeom prst="rect"/>
                </pic:spPr>
              </pic:pic>
            </a:graphicData>
          </a:graphic>
        </wp:inline>
      </w:drawing>
    </w:r>
    <w:r>
      <w:rPr>
        <w:rFonts w:ascii="Arial" w:hAnsi="Arial" w:cs="Arial"/>
        <w:b/>
        <w:bCs/>
        <w:color w:val="1F3A75"/>
        <w:sz w:val="18"/>
        <w:szCs w:val="18"/>
      </w:rPr>
      <w:t xml:space="preserve">  Vyřešíme s.r.o.</w:t>
    </w:r>
    <w:r>
      <w:rPr>
        <w:rFonts w:ascii="Arial" w:hAnsi="Arial" w:cs="Arial"/>
        <w:color w:val="5B6675"/>
        <w:sz w:val="15"/>
        <w:szCs w:val="15"/>
      </w:rPr>
      <w:tab/>
    </w:r>
    <w:r>
      <w:rPr>
        <w:rFonts w:ascii="Arial" w:hAnsi="Arial" w:cs="Arial"/>
        <w:color w:val="5B6675"/>
        <w:sz w:val="16"/>
        <w:szCs w:val="16"/>
      </w:rPr>
      <w:t xml:space="preserve">Vyjádření kontrolované osoby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lang w:val="cs-CZ" w:eastAsia="cs-CZ"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